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C3EE8" w:rsidRPr="000F353B" w:rsidRDefault="006C3EE8" w:rsidP="00A36121">
      <w:pPr>
        <w:ind w:left="6804"/>
        <w:rPr>
          <w:sz w:val="20"/>
          <w:szCs w:val="20"/>
        </w:rPr>
      </w:pPr>
    </w:p>
    <w:p w:rsidR="00976418" w:rsidRPr="00EF571B" w:rsidRDefault="00976418" w:rsidP="00976418">
      <w:pPr>
        <w:jc w:val="right"/>
        <w:rPr>
          <w:szCs w:val="28"/>
        </w:rPr>
      </w:pPr>
    </w:p>
    <w:p w:rsidR="00976418" w:rsidRPr="00EF571B" w:rsidRDefault="00976418" w:rsidP="00976418"/>
    <w:tbl>
      <w:tblPr>
        <w:tblW w:w="1003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10031"/>
      </w:tblGrid>
      <w:tr w:rsidR="00976418" w:rsidRPr="000F353B" w:rsidTr="00976418">
        <w:trPr>
          <w:trHeight w:val="1180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jc w:val="both"/>
              <w:rPr>
                <w:b/>
                <w:sz w:val="26"/>
                <w:szCs w:val="26"/>
              </w:rPr>
            </w:pPr>
          </w:p>
          <w:p w:rsidR="00A36121" w:rsidRPr="000F2B93" w:rsidRDefault="00976418" w:rsidP="00A36121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pacing w:line="320" w:lineRule="atLeast"/>
              <w:jc w:val="both"/>
              <w:rPr>
                <w:rFonts w:eastAsia="Lucida Sans Unicode"/>
                <w:kern w:val="1"/>
                <w:sz w:val="26"/>
                <w:szCs w:val="26"/>
              </w:rPr>
            </w:pPr>
            <w:r w:rsidRPr="000F353B">
              <w:rPr>
                <w:b/>
                <w:sz w:val="26"/>
                <w:szCs w:val="26"/>
              </w:rPr>
              <w:t xml:space="preserve">ПРИМЕРНЫЙ ПЕРЕЧЕНЬ ВОПРОСОВ В РАМКАХ </w:t>
            </w:r>
            <w:proofErr w:type="gramStart"/>
            <w:r w:rsidRPr="000F353B">
              <w:rPr>
                <w:b/>
                <w:sz w:val="26"/>
                <w:szCs w:val="26"/>
              </w:rPr>
              <w:t xml:space="preserve">ПРОВЕДЕНИЯ ПУБЛИЧНЫХ ОБСУЖДЕНИЙ </w:t>
            </w:r>
            <w:r w:rsidR="00A36121" w:rsidRPr="000F2B93">
              <w:rPr>
                <w:sz w:val="26"/>
                <w:szCs w:val="26"/>
              </w:rPr>
              <w:t>Постановления Администрации Октябрьского муниципального района Пермского</w:t>
            </w:r>
            <w:proofErr w:type="gramEnd"/>
            <w:r w:rsidR="00A36121" w:rsidRPr="000F2B93">
              <w:rPr>
                <w:sz w:val="26"/>
                <w:szCs w:val="26"/>
              </w:rPr>
              <w:t xml:space="preserve"> края </w:t>
            </w:r>
            <w:r w:rsidR="00B81394" w:rsidRPr="000F2B93">
              <w:rPr>
                <w:sz w:val="26"/>
                <w:szCs w:val="26"/>
              </w:rPr>
              <w:t>«</w:t>
            </w:r>
            <w:r w:rsidR="000F2B93" w:rsidRPr="000F2B93">
              <w:rPr>
                <w:sz w:val="26"/>
                <w:szCs w:val="26"/>
              </w:rPr>
              <w:t xml:space="preserve">Об утверждении Административного регламента по предоставлению муниципальной услуги </w:t>
            </w:r>
            <w:r w:rsidR="00E250A1" w:rsidRPr="00543972">
              <w:t>«Продажа земельных участков, государственная собственность на которые не разграничена, расположенных на территории сельских поселений и находящихся в собственности муниципального образования «Октябрьский муниципальный район» без проведения торгов</w:t>
            </w:r>
            <w:r w:rsidR="00D04563">
              <w:t>».</w:t>
            </w: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</w:p>
          <w:p w:rsidR="00976418" w:rsidRPr="000F353B" w:rsidRDefault="00976418" w:rsidP="00976418">
            <w:pPr>
              <w:ind w:firstLine="540"/>
              <w:jc w:val="both"/>
              <w:rPr>
                <w:sz w:val="26"/>
                <w:szCs w:val="26"/>
              </w:rPr>
            </w:pPr>
            <w:r w:rsidRPr="000F353B">
              <w:rPr>
                <w:sz w:val="26"/>
                <w:szCs w:val="26"/>
              </w:rPr>
              <w:t xml:space="preserve">Пожалуйста, заполните и направьте данную форму по электронной почте на адрес </w:t>
            </w:r>
            <w:hyperlink r:id="rId5" w:history="1">
              <w:r w:rsidR="00B81394" w:rsidRPr="008451B4">
                <w:rPr>
                  <w:rStyle w:val="ad"/>
                  <w:sz w:val="26"/>
                  <w:szCs w:val="26"/>
                  <w:lang w:val="en-US"/>
                </w:rPr>
                <w:t>imokt</w:t>
              </w:r>
              <w:r w:rsidR="00B81394" w:rsidRPr="008451B4">
                <w:rPr>
                  <w:rStyle w:val="ad"/>
                  <w:sz w:val="26"/>
                  <w:szCs w:val="26"/>
                </w:rPr>
                <w:t>@</w:t>
              </w:r>
              <w:proofErr w:type="spellStart"/>
              <w:r w:rsidR="00B81394" w:rsidRPr="008451B4">
                <w:rPr>
                  <w:rStyle w:val="ad"/>
                  <w:sz w:val="26"/>
                  <w:szCs w:val="26"/>
                </w:rPr>
                <w:t>yandex.ru</w:t>
              </w:r>
              <w:proofErr w:type="spellEnd"/>
            </w:hyperlink>
            <w:r w:rsidRPr="000F353B">
              <w:rPr>
                <w:sz w:val="26"/>
                <w:szCs w:val="26"/>
              </w:rPr>
              <w:t xml:space="preserve"> не позднее </w:t>
            </w:r>
            <w:r w:rsidR="00E0429F">
              <w:rPr>
                <w:b/>
                <w:color w:val="FF0000"/>
                <w:sz w:val="26"/>
                <w:szCs w:val="26"/>
              </w:rPr>
              <w:t>10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.0</w:t>
            </w:r>
            <w:r w:rsidR="00E0429F">
              <w:rPr>
                <w:b/>
                <w:color w:val="FF0000"/>
                <w:sz w:val="26"/>
                <w:szCs w:val="26"/>
              </w:rPr>
              <w:t>5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.201</w:t>
            </w:r>
            <w:r w:rsidR="000F578B">
              <w:rPr>
                <w:b/>
                <w:color w:val="FF0000"/>
                <w:sz w:val="26"/>
                <w:szCs w:val="26"/>
              </w:rPr>
              <w:t>7</w:t>
            </w:r>
            <w:r w:rsidR="00A36121" w:rsidRPr="007B63A3">
              <w:rPr>
                <w:b/>
                <w:color w:val="FF0000"/>
                <w:sz w:val="26"/>
                <w:szCs w:val="26"/>
              </w:rPr>
              <w:t>г.</w:t>
            </w:r>
            <w:r w:rsidRPr="000F353B">
              <w:rPr>
                <w:sz w:val="26"/>
                <w:szCs w:val="26"/>
              </w:rPr>
              <w:t xml:space="preserve">  Разработчик акта не будет иметь возможности проанализировать позиции, направленные ему после указанного срока, а также направленные не в соответствии с настоящей формой. </w:t>
            </w:r>
          </w:p>
          <w:p w:rsidR="00976418" w:rsidRPr="000F353B" w:rsidRDefault="00976418" w:rsidP="00976418">
            <w:pPr>
              <w:pBdr>
                <w:top w:val="single" w:sz="4" w:space="1" w:color="auto"/>
                <w:left w:val="single" w:sz="4" w:space="4" w:color="auto"/>
                <w:bottom w:val="single" w:sz="4" w:space="1" w:color="auto"/>
                <w:right w:val="single" w:sz="4" w:space="4" w:color="auto"/>
              </w:pBdr>
              <w:shd w:val="clear" w:color="auto" w:fill="E6E6E6"/>
              <w:jc w:val="both"/>
              <w:rPr>
                <w:b/>
                <w:sz w:val="26"/>
                <w:szCs w:val="26"/>
              </w:rPr>
            </w:pPr>
          </w:p>
          <w:p w:rsidR="00976418" w:rsidRPr="000F353B" w:rsidRDefault="00976418" w:rsidP="00976418">
            <w:pPr>
              <w:jc w:val="both"/>
              <w:rPr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center"/>
        <w:rPr>
          <w:b/>
          <w:sz w:val="26"/>
          <w:szCs w:val="26"/>
        </w:rPr>
      </w:pPr>
      <w:r w:rsidRPr="000F353B">
        <w:rPr>
          <w:b/>
          <w:sz w:val="26"/>
          <w:szCs w:val="26"/>
        </w:rPr>
        <w:t>Контактная информация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Название организации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031B8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Сферу деятельности организации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Ф.И.О. контактного лица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Номер контактного телефона</w:t>
      </w:r>
      <w:r w:rsidR="00A36121">
        <w:rPr>
          <w:sz w:val="26"/>
          <w:szCs w:val="26"/>
        </w:rPr>
        <w:t xml:space="preserve">: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  <w:r w:rsidRPr="000F353B">
        <w:rPr>
          <w:sz w:val="26"/>
          <w:szCs w:val="26"/>
        </w:rPr>
        <w:t>Адрес электронной почты</w:t>
      </w:r>
      <w:r w:rsidR="00A36121">
        <w:rPr>
          <w:sz w:val="26"/>
          <w:szCs w:val="26"/>
        </w:rPr>
        <w:t>:</w:t>
      </w:r>
      <w:r w:rsidRPr="000F353B">
        <w:rPr>
          <w:sz w:val="26"/>
          <w:szCs w:val="26"/>
        </w:rPr>
        <w:tab/>
        <w:t xml:space="preserve">             </w:t>
      </w:r>
    </w:p>
    <w:p w:rsidR="00976418" w:rsidRPr="000F353B" w:rsidRDefault="00976418" w:rsidP="00976418">
      <w:pPr>
        <w:pBdr>
          <w:top w:val="single" w:sz="4" w:space="0" w:color="auto"/>
          <w:left w:val="single" w:sz="4" w:space="4" w:color="auto"/>
          <w:bottom w:val="single" w:sz="4" w:space="1" w:color="auto"/>
          <w:right w:val="single" w:sz="4" w:space="0" w:color="auto"/>
        </w:pBdr>
        <w:jc w:val="both"/>
        <w:rPr>
          <w:sz w:val="26"/>
          <w:szCs w:val="2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/>
      </w:tblPr>
      <w:tblGrid>
        <w:gridCol w:w="9853"/>
      </w:tblGrid>
      <w:tr w:rsidR="00976418" w:rsidRPr="000F353B" w:rsidTr="00976418">
        <w:trPr>
          <w:trHeight w:val="397"/>
        </w:trPr>
        <w:tc>
          <w:tcPr>
            <w:tcW w:w="10031" w:type="dxa"/>
            <w:tcBorders>
              <w:top w:val="nil"/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На решение какой проблемы, на Ваш взгляд, направлено предлагаемое регулирование? Актуальна ли данная проблема сегодня? </w:t>
            </w:r>
          </w:p>
        </w:tc>
      </w:tr>
      <w:tr w:rsidR="00976418" w:rsidRPr="000F353B" w:rsidTr="00976418">
        <w:trPr>
          <w:trHeight w:val="37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Насколько корректно определены те факторы, которые обуславливают необходимость государственного вмешательства? Насколько цель предлагаемого регулирования соотносится с  проблемой, на решение которой оно направлено? Достигнет ли, на Ваш взгляд, предлагаемое нормативное правовое регулирование тех целей, на которые оно направлено?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469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Является ли выбранный вариант решения проблемы оптимальным (в т.ч. с точки зрения выгод и издержек для общества в целом)? Существуют ли иные варианты достижения заявленных целей государственного регулирования? Если да, выделите те из них, которые, по Вашему мнению, были бы менее </w:t>
            </w:r>
            <w:proofErr w:type="spellStart"/>
            <w:r w:rsidRPr="000F353B">
              <w:rPr>
                <w:i/>
                <w:sz w:val="26"/>
                <w:szCs w:val="26"/>
              </w:rPr>
              <w:t>затратны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и/или более эффективны?</w:t>
            </w:r>
          </w:p>
        </w:tc>
      </w:tr>
      <w:tr w:rsidR="00976418" w:rsidRPr="000F353B" w:rsidTr="00976418">
        <w:trPr>
          <w:trHeight w:val="437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Какие, по Вашей оценке, субъекты предпринимательской и иной деятельности будут затронуты предлагаемым регулированием  (по видам субъектов, по отраслям, количество в Вашем районе)?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20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Повлияет ли введение предлагаемого регулирования на конкурентную среду в отрасли, будет ли способствовать необоснованному изменению расстановки сил в отрасли?  Если да, то как? Приведите, по возможности, количественные оценки</w:t>
            </w:r>
          </w:p>
        </w:tc>
      </w:tr>
      <w:tr w:rsidR="00976418" w:rsidRPr="000F353B" w:rsidTr="00976418">
        <w:trPr>
          <w:trHeight w:val="585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ind w:left="720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Оцените, насколько полно и точно отражены обязанности, ответственность субъектов государственного регулирования, а также насколько понятно прописаны  административные процедуры, реализуемые ответственными государственными органами, насколько точно и недвусмысленно прописаны властные функции и полномочия? Считаете ли Вы, что предлагаемые нормы не соответствуют или противоречат иным действующим нормативным правовым актам? Если да, укажите такие нормы и нормативные правовые акты.</w:t>
            </w:r>
          </w:p>
        </w:tc>
      </w:tr>
      <w:tr w:rsidR="00976418" w:rsidRPr="000F353B" w:rsidTr="00976418">
        <w:trPr>
          <w:trHeight w:val="58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Существуют ли в предлагаемом проекте нового регулирования положения, которые необоснованно затрудняют ведение предпринимательской и инвестиционной деятельности? Приведите обоснования по каждому указанному положению, дополнительно определив: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имеется ли смысловое противоречие с целями регулирования или существующей проблемой либо положение не способствует достижению целей регулирования;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имеются  ли  технические ошибки;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исполнение положений регулирования к избыточным действиям или, наоборот, ограничивает действия субъектов предпринимательской и инвестиционной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создает ли исполнение положений регулирования существенные риски ведения предпринимательской и инвестиционной деятельности, способствует ли возникновению необоснованных прав органов государственной власти и должностных лиц, допускает ли возможность избирательного применения норм;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приводит ли к невозможности совершения законных действий предпринимателей или инвесторов (например, в связи с отсутствием требуемой новым регулированием инфраструктуры, организационных или технических условий, технологий), вводит ли неоптимальный режим осуществления операционной деятельности;</w:t>
            </w: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>- соответствует ли обычаям деловой практики, сложившейся в отрасли, либо существующим международным практикам, используемым в данный момент.</w:t>
            </w:r>
          </w:p>
        </w:tc>
        <w:bookmarkStart w:id="0" w:name="_GoBack"/>
        <w:bookmarkEnd w:id="0"/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rPr>
          <w:trHeight w:val="802"/>
        </w:trPr>
        <w:tc>
          <w:tcPr>
            <w:tcW w:w="100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 каким последствиям может привести принятие нового регулирования в части невозможности исполнения юридическими лицами и индивидуальными предпринимателями дополнительных обязанностей, возникновения избыточных административных и иных ограничений и обязанностей для субъектов предпринимательской и иной деятельности?</w:t>
            </w:r>
            <w:r w:rsidRPr="000F353B">
              <w:rPr>
                <w:b/>
                <w:sz w:val="26"/>
                <w:szCs w:val="26"/>
              </w:rPr>
              <w:t xml:space="preserve"> </w:t>
            </w:r>
            <w:r w:rsidRPr="000F353B">
              <w:rPr>
                <w:i/>
                <w:sz w:val="26"/>
                <w:szCs w:val="26"/>
              </w:rPr>
              <w:t xml:space="preserve"> Приведите конкретные примеры.</w:t>
            </w:r>
          </w:p>
        </w:tc>
      </w:tr>
      <w:tr w:rsidR="00976418" w:rsidRPr="000F353B" w:rsidTr="00976418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1003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lastRenderedPageBreak/>
              <w:t xml:space="preserve"> Оцените издержки/упущенную выгоду (прямого, административного характера) субъектов предпринимательской деятельности, возникающие при введении предлагаемого регулирования (оценка может быть представлена в терминах РСБУ). Отдельно укажите временные издержки, которые понесут субъекты предпринимательской деятельности как следствие необходимости соблюдения административных процедур, предусмотренных проектом предлагаемого регулирования. Какие из указанных издержек Вы считаете избыточными/бесполезными и почему? Если возможно, оцените затраты по выполнению вновь вводимых требований количественно (в часах рабочего времени, в денежном эквиваленте и прочее)</w:t>
            </w:r>
          </w:p>
        </w:tc>
      </w:tr>
      <w:tr w:rsidR="00976418" w:rsidRPr="000F353B" w:rsidTr="00976418">
        <w:trPr>
          <w:trHeight w:val="826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могут возникнуть проблемы и трудности с контролем соблюдения требований и норм, вводимых данным нормативным актом? Является ли предлагаемое регулирование </w:t>
            </w:r>
            <w:proofErr w:type="spellStart"/>
            <w:r w:rsidRPr="000F353B">
              <w:rPr>
                <w:i/>
                <w:sz w:val="26"/>
                <w:szCs w:val="26"/>
              </w:rPr>
              <w:t>недискриминационным</w:t>
            </w:r>
            <w:proofErr w:type="spellEnd"/>
            <w:r w:rsidRPr="000F353B">
              <w:rPr>
                <w:i/>
                <w:sz w:val="26"/>
                <w:szCs w:val="26"/>
              </w:rPr>
              <w:t xml:space="preserve"> по отношению ко всем его адресатам, то есть все ли потенциальные адресаты регулирования окажутся в одинаковых условиях после его введения? Предусмотрен ли в нем механизм защиты прав хозяйствующих субъектов? Существуют ли, на Ваш взгляд, особенности при контроле соблюдения требований вновь вводимого регулирования различными группами адресатов регулирования?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Требуется ли переходный период для вступления в силу предлагаемого регулирования (если да, какова его продолжительность), какие ограничения по срокам введения нового регулирования необходимо учесть? 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autoSpaceDE w:val="0"/>
              <w:autoSpaceDN w:val="0"/>
              <w:adjustRightInd w:val="0"/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Какие, на Ваш взгляд, целесообразно применить исключения по введению регулирования в отношении отдельных групп лиц, приведите соответствующее обоснование.</w:t>
            </w:r>
          </w:p>
        </w:tc>
      </w:tr>
      <w:tr w:rsidR="00976418" w:rsidRPr="000F353B" w:rsidTr="00976418">
        <w:trPr>
          <w:trHeight w:val="732"/>
        </w:trPr>
        <w:tc>
          <w:tcPr>
            <w:tcW w:w="10031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numPr>
                <w:ilvl w:val="0"/>
                <w:numId w:val="4"/>
              </w:numPr>
              <w:tabs>
                <w:tab w:val="clear" w:pos="1080"/>
                <w:tab w:val="num" w:pos="0"/>
              </w:tabs>
              <w:ind w:left="0"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</w:rPr>
              <w:t xml:space="preserve"> - </w:t>
            </w: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. Специальные вопросы, касающиеся конкретных положений и норм рассматриваемого проекта, отношение к которым необходимо прояснить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tcBorders>
              <w:bottom w:val="single" w:sz="4" w:space="0" w:color="auto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tabs>
                <w:tab w:val="num" w:pos="0"/>
              </w:tabs>
              <w:ind w:firstLine="709"/>
              <w:rPr>
                <w:i/>
                <w:sz w:val="26"/>
                <w:szCs w:val="26"/>
              </w:rPr>
            </w:pPr>
          </w:p>
        </w:tc>
      </w:tr>
      <w:tr w:rsidR="00976418" w:rsidRPr="000F353B" w:rsidTr="00976418">
        <w:trPr>
          <w:trHeight w:val="397"/>
        </w:trPr>
        <w:tc>
          <w:tcPr>
            <w:tcW w:w="10031" w:type="dxa"/>
            <w:tcBorders>
              <w:left w:val="nil"/>
              <w:right w:val="nil"/>
            </w:tcBorders>
            <w:shd w:val="clear" w:color="auto" w:fill="auto"/>
          </w:tcPr>
          <w:p w:rsidR="00976418" w:rsidRPr="000F353B" w:rsidRDefault="00976418" w:rsidP="00976418">
            <w:pPr>
              <w:tabs>
                <w:tab w:val="num" w:pos="0"/>
              </w:tabs>
              <w:ind w:firstLine="709"/>
              <w:jc w:val="both"/>
              <w:rPr>
                <w:i/>
                <w:sz w:val="26"/>
                <w:szCs w:val="26"/>
              </w:rPr>
            </w:pPr>
            <w:r w:rsidRPr="000F353B">
              <w:rPr>
                <w:i/>
                <w:sz w:val="26"/>
                <w:szCs w:val="26"/>
                <w:lang w:val="en-US"/>
              </w:rPr>
              <w:t>n</w:t>
            </w:r>
            <w:r w:rsidRPr="000F353B">
              <w:rPr>
                <w:i/>
                <w:sz w:val="26"/>
                <w:szCs w:val="26"/>
              </w:rPr>
              <w:t>+1. Иные  предложения и замечания, которые, по Вашему мнению, целесообразно учесть в рамках оценки регулирующего воздействия</w:t>
            </w:r>
          </w:p>
        </w:tc>
      </w:tr>
      <w:tr w:rsidR="00976418" w:rsidRPr="000F353B" w:rsidTr="00976418">
        <w:trPr>
          <w:trHeight w:val="733"/>
        </w:trPr>
        <w:tc>
          <w:tcPr>
            <w:tcW w:w="10031" w:type="dxa"/>
            <w:shd w:val="clear" w:color="auto" w:fill="auto"/>
          </w:tcPr>
          <w:p w:rsidR="00976418" w:rsidRPr="000F353B" w:rsidRDefault="00976418" w:rsidP="00976418">
            <w:pPr>
              <w:ind w:left="720"/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  <w:p w:rsidR="00976418" w:rsidRPr="000F353B" w:rsidRDefault="00976418" w:rsidP="00976418">
            <w:pPr>
              <w:rPr>
                <w:i/>
                <w:sz w:val="26"/>
                <w:szCs w:val="26"/>
              </w:rPr>
            </w:pPr>
          </w:p>
        </w:tc>
      </w:tr>
    </w:tbl>
    <w:p w:rsidR="00976418" w:rsidRPr="000F353B" w:rsidRDefault="00976418" w:rsidP="00976418">
      <w:pPr>
        <w:rPr>
          <w:sz w:val="26"/>
          <w:szCs w:val="26"/>
        </w:rPr>
      </w:pPr>
    </w:p>
    <w:sectPr w:rsidR="00976418" w:rsidRPr="000F353B" w:rsidSect="00976418">
      <w:pgSz w:w="11906" w:h="16838"/>
      <w:pgMar w:top="1134" w:right="851" w:bottom="1134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3F" w:csb1="00000000"/>
  </w:font>
  <w:font w:name="Calibri Light">
    <w:altName w:val="Calibri"/>
    <w:charset w:val="CC"/>
    <w:family w:val="swiss"/>
    <w:pitch w:val="variable"/>
    <w:sig w:usb0="00000001" w:usb1="4000207B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5208C"/>
    <w:multiLevelType w:val="multilevel"/>
    <w:tmpl w:val="ED849094"/>
    <w:lvl w:ilvl="0">
      <w:start w:val="1"/>
      <w:numFmt w:val="decimal"/>
      <w:lvlText w:val="%1."/>
      <w:lvlJc w:val="left"/>
      <w:pPr>
        <w:ind w:left="1738" w:hanging="117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88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648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2008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368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368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728" w:hanging="2160"/>
      </w:pPr>
      <w:rPr>
        <w:rFonts w:hint="default"/>
      </w:rPr>
    </w:lvl>
  </w:abstractNum>
  <w:abstractNum w:abstractNumId="1">
    <w:nsid w:val="1E1F5579"/>
    <w:multiLevelType w:val="hybridMultilevel"/>
    <w:tmpl w:val="49804550"/>
    <w:lvl w:ilvl="0" w:tplc="9A3C8902">
      <w:start w:val="4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A530B19C" w:tentative="1">
      <w:start w:val="1"/>
      <w:numFmt w:val="lowerLetter"/>
      <w:lvlText w:val="%2."/>
      <w:lvlJc w:val="left"/>
      <w:pPr>
        <w:ind w:left="720" w:hanging="360"/>
      </w:pPr>
    </w:lvl>
    <w:lvl w:ilvl="2" w:tplc="1AA22334" w:tentative="1">
      <w:start w:val="1"/>
      <w:numFmt w:val="lowerRoman"/>
      <w:lvlText w:val="%3."/>
      <w:lvlJc w:val="right"/>
      <w:pPr>
        <w:ind w:left="1440" w:hanging="180"/>
      </w:pPr>
    </w:lvl>
    <w:lvl w:ilvl="3" w:tplc="049402B2" w:tentative="1">
      <w:start w:val="1"/>
      <w:numFmt w:val="decimal"/>
      <w:lvlText w:val="%4."/>
      <w:lvlJc w:val="left"/>
      <w:pPr>
        <w:ind w:left="2160" w:hanging="360"/>
      </w:pPr>
    </w:lvl>
    <w:lvl w:ilvl="4" w:tplc="E6F8342E" w:tentative="1">
      <w:start w:val="1"/>
      <w:numFmt w:val="lowerLetter"/>
      <w:lvlText w:val="%5."/>
      <w:lvlJc w:val="left"/>
      <w:pPr>
        <w:ind w:left="2880" w:hanging="360"/>
      </w:pPr>
    </w:lvl>
    <w:lvl w:ilvl="5" w:tplc="2EBEB90C" w:tentative="1">
      <w:start w:val="1"/>
      <w:numFmt w:val="lowerRoman"/>
      <w:lvlText w:val="%6."/>
      <w:lvlJc w:val="right"/>
      <w:pPr>
        <w:ind w:left="3600" w:hanging="180"/>
      </w:pPr>
    </w:lvl>
    <w:lvl w:ilvl="6" w:tplc="AA0CFF68" w:tentative="1">
      <w:start w:val="1"/>
      <w:numFmt w:val="decimal"/>
      <w:lvlText w:val="%7."/>
      <w:lvlJc w:val="left"/>
      <w:pPr>
        <w:ind w:left="4320" w:hanging="360"/>
      </w:pPr>
    </w:lvl>
    <w:lvl w:ilvl="7" w:tplc="EAA8CA4C" w:tentative="1">
      <w:start w:val="1"/>
      <w:numFmt w:val="lowerLetter"/>
      <w:lvlText w:val="%8."/>
      <w:lvlJc w:val="left"/>
      <w:pPr>
        <w:ind w:left="5040" w:hanging="360"/>
      </w:pPr>
    </w:lvl>
    <w:lvl w:ilvl="8" w:tplc="79CCEC44" w:tentative="1">
      <w:start w:val="1"/>
      <w:numFmt w:val="lowerRoman"/>
      <w:lvlText w:val="%9."/>
      <w:lvlJc w:val="right"/>
      <w:pPr>
        <w:ind w:left="5760" w:hanging="180"/>
      </w:pPr>
    </w:lvl>
  </w:abstractNum>
  <w:abstractNum w:abstractNumId="2">
    <w:nsid w:val="231E7DFB"/>
    <w:multiLevelType w:val="hybridMultilevel"/>
    <w:tmpl w:val="BB7E4BEA"/>
    <w:lvl w:ilvl="0" w:tplc="5FEA295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5EB01F9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F00887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8076AD9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86A2B5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75EE09C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9C29C24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93443E82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FA4872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36C71EB8"/>
    <w:multiLevelType w:val="hybridMultilevel"/>
    <w:tmpl w:val="FC88AF00"/>
    <w:lvl w:ilvl="0" w:tplc="FCC6E47A">
      <w:start w:val="1"/>
      <w:numFmt w:val="decimal"/>
      <w:lvlText w:val="%1."/>
      <w:lvlJc w:val="left"/>
      <w:pPr>
        <w:ind w:left="1080" w:hanging="360"/>
      </w:pPr>
      <w:rPr>
        <w:rFonts w:hint="default"/>
        <w:b/>
      </w:rPr>
    </w:lvl>
    <w:lvl w:ilvl="1" w:tplc="A374406A" w:tentative="1">
      <w:start w:val="1"/>
      <w:numFmt w:val="lowerLetter"/>
      <w:lvlText w:val="%2."/>
      <w:lvlJc w:val="left"/>
      <w:pPr>
        <w:ind w:left="1800" w:hanging="360"/>
      </w:pPr>
    </w:lvl>
    <w:lvl w:ilvl="2" w:tplc="A8AEC7B6" w:tentative="1">
      <w:start w:val="1"/>
      <w:numFmt w:val="lowerRoman"/>
      <w:lvlText w:val="%3."/>
      <w:lvlJc w:val="right"/>
      <w:pPr>
        <w:ind w:left="2520" w:hanging="180"/>
      </w:pPr>
    </w:lvl>
    <w:lvl w:ilvl="3" w:tplc="2EA86BC0" w:tentative="1">
      <w:start w:val="1"/>
      <w:numFmt w:val="decimal"/>
      <w:lvlText w:val="%4."/>
      <w:lvlJc w:val="left"/>
      <w:pPr>
        <w:ind w:left="3240" w:hanging="360"/>
      </w:pPr>
    </w:lvl>
    <w:lvl w:ilvl="4" w:tplc="FD7888AC" w:tentative="1">
      <w:start w:val="1"/>
      <w:numFmt w:val="lowerLetter"/>
      <w:lvlText w:val="%5."/>
      <w:lvlJc w:val="left"/>
      <w:pPr>
        <w:ind w:left="3960" w:hanging="360"/>
      </w:pPr>
    </w:lvl>
    <w:lvl w:ilvl="5" w:tplc="A7FCF232" w:tentative="1">
      <w:start w:val="1"/>
      <w:numFmt w:val="lowerRoman"/>
      <w:lvlText w:val="%6."/>
      <w:lvlJc w:val="right"/>
      <w:pPr>
        <w:ind w:left="4680" w:hanging="180"/>
      </w:pPr>
    </w:lvl>
    <w:lvl w:ilvl="6" w:tplc="E7A8C970" w:tentative="1">
      <w:start w:val="1"/>
      <w:numFmt w:val="decimal"/>
      <w:lvlText w:val="%7."/>
      <w:lvlJc w:val="left"/>
      <w:pPr>
        <w:ind w:left="5400" w:hanging="360"/>
      </w:pPr>
    </w:lvl>
    <w:lvl w:ilvl="7" w:tplc="442EE454" w:tentative="1">
      <w:start w:val="1"/>
      <w:numFmt w:val="lowerLetter"/>
      <w:lvlText w:val="%8."/>
      <w:lvlJc w:val="left"/>
      <w:pPr>
        <w:ind w:left="6120" w:hanging="360"/>
      </w:pPr>
    </w:lvl>
    <w:lvl w:ilvl="8" w:tplc="11CE58FE" w:tentative="1">
      <w:start w:val="1"/>
      <w:numFmt w:val="lowerRoman"/>
      <w:lvlText w:val="%9."/>
      <w:lvlJc w:val="right"/>
      <w:pPr>
        <w:ind w:left="6840" w:hanging="180"/>
      </w:pPr>
    </w:lvl>
  </w:abstractNum>
  <w:num w:numId="1">
    <w:abstractNumId w:val="0"/>
  </w:num>
  <w:num w:numId="2">
    <w:abstractNumId w:val="3"/>
  </w:num>
  <w:num w:numId="3">
    <w:abstractNumId w:val="1"/>
  </w:num>
  <w:num w:numId="4">
    <w:abstractNumId w:val="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embedSystemFonts/>
  <w:proofState w:spelling="clean" w:grammar="clean"/>
  <w:stylePaneFormatFilter w:val="3F01"/>
  <w:defaultTabStop w:val="708"/>
  <w:characterSpacingControl w:val="doNotCompress"/>
  <w:compat/>
  <w:rsids>
    <w:rsidRoot w:val="00C80448"/>
    <w:rsid w:val="00031B8B"/>
    <w:rsid w:val="000A50F8"/>
    <w:rsid w:val="000B2D83"/>
    <w:rsid w:val="000D5E2D"/>
    <w:rsid w:val="000F2B93"/>
    <w:rsid w:val="000F578B"/>
    <w:rsid w:val="001B7138"/>
    <w:rsid w:val="001B74C4"/>
    <w:rsid w:val="00226313"/>
    <w:rsid w:val="002605B4"/>
    <w:rsid w:val="003E72F4"/>
    <w:rsid w:val="004A7742"/>
    <w:rsid w:val="004E7515"/>
    <w:rsid w:val="00674653"/>
    <w:rsid w:val="006C3EE8"/>
    <w:rsid w:val="007407C0"/>
    <w:rsid w:val="007553C0"/>
    <w:rsid w:val="007B63A3"/>
    <w:rsid w:val="00870893"/>
    <w:rsid w:val="008B77C3"/>
    <w:rsid w:val="00976418"/>
    <w:rsid w:val="00986177"/>
    <w:rsid w:val="009A581E"/>
    <w:rsid w:val="00A36121"/>
    <w:rsid w:val="00AE135A"/>
    <w:rsid w:val="00B61ADA"/>
    <w:rsid w:val="00B81394"/>
    <w:rsid w:val="00C80448"/>
    <w:rsid w:val="00D04563"/>
    <w:rsid w:val="00E0429F"/>
    <w:rsid w:val="00E250A1"/>
    <w:rsid w:val="00E43E13"/>
    <w:rsid w:val="00E63B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Right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endnote text" w:uiPriority="99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2318C"/>
    <w:rPr>
      <w:sz w:val="28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355961"/>
    <w:pPr>
      <w:tabs>
        <w:tab w:val="center" w:pos="4153"/>
        <w:tab w:val="right" w:pos="8306"/>
      </w:tabs>
      <w:suppressAutoHyphens/>
      <w:jc w:val="center"/>
    </w:pPr>
    <w:rPr>
      <w:szCs w:val="20"/>
    </w:rPr>
  </w:style>
  <w:style w:type="character" w:customStyle="1" w:styleId="a4">
    <w:name w:val="Верхний колонтитул Знак"/>
    <w:link w:val="a3"/>
    <w:rsid w:val="00355961"/>
    <w:rPr>
      <w:sz w:val="28"/>
    </w:rPr>
  </w:style>
  <w:style w:type="paragraph" w:customStyle="1" w:styleId="a5">
    <w:name w:val="Адресат"/>
    <w:basedOn w:val="a"/>
    <w:rsid w:val="00355961"/>
    <w:pPr>
      <w:suppressAutoHyphens/>
      <w:spacing w:line="240" w:lineRule="exact"/>
    </w:pPr>
    <w:rPr>
      <w:szCs w:val="20"/>
    </w:rPr>
  </w:style>
  <w:style w:type="paragraph" w:customStyle="1" w:styleId="a6">
    <w:name w:val="Заголовок к тексту"/>
    <w:basedOn w:val="a"/>
    <w:next w:val="a7"/>
    <w:qFormat/>
    <w:rsid w:val="00355961"/>
    <w:pPr>
      <w:suppressAutoHyphens/>
      <w:spacing w:after="480" w:line="240" w:lineRule="exact"/>
    </w:pPr>
    <w:rPr>
      <w:b/>
      <w:szCs w:val="20"/>
    </w:rPr>
  </w:style>
  <w:style w:type="paragraph" w:styleId="a7">
    <w:name w:val="Body Text"/>
    <w:basedOn w:val="a"/>
    <w:link w:val="a8"/>
    <w:rsid w:val="00E14F0F"/>
    <w:pPr>
      <w:spacing w:line="360" w:lineRule="exact"/>
      <w:ind w:firstLine="720"/>
      <w:jc w:val="both"/>
    </w:pPr>
  </w:style>
  <w:style w:type="character" w:customStyle="1" w:styleId="a8">
    <w:name w:val="Основной текст Знак"/>
    <w:link w:val="a7"/>
    <w:rsid w:val="00E14F0F"/>
    <w:rPr>
      <w:sz w:val="28"/>
      <w:szCs w:val="24"/>
    </w:rPr>
  </w:style>
  <w:style w:type="paragraph" w:customStyle="1" w:styleId="a9">
    <w:name w:val="Исполнитель"/>
    <w:basedOn w:val="a7"/>
    <w:rsid w:val="005B4D07"/>
    <w:pPr>
      <w:suppressAutoHyphens/>
      <w:spacing w:line="240" w:lineRule="exact"/>
      <w:ind w:firstLine="0"/>
      <w:jc w:val="left"/>
    </w:pPr>
    <w:rPr>
      <w:sz w:val="20"/>
      <w:szCs w:val="20"/>
    </w:rPr>
  </w:style>
  <w:style w:type="paragraph" w:customStyle="1" w:styleId="ConsPlusNormal">
    <w:name w:val="ConsPlusNormal"/>
    <w:uiPriority w:val="99"/>
    <w:rsid w:val="000F353B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a">
    <w:name w:val="List Paragraph"/>
    <w:basedOn w:val="a"/>
    <w:uiPriority w:val="34"/>
    <w:qFormat/>
    <w:rsid w:val="000F353B"/>
    <w:pPr>
      <w:ind w:left="720"/>
      <w:contextualSpacing/>
    </w:pPr>
    <w:rPr>
      <w:sz w:val="24"/>
    </w:rPr>
  </w:style>
  <w:style w:type="paragraph" w:styleId="ab">
    <w:name w:val="endnote text"/>
    <w:basedOn w:val="a"/>
    <w:link w:val="ac"/>
    <w:uiPriority w:val="99"/>
    <w:rsid w:val="000F353B"/>
    <w:pPr>
      <w:autoSpaceDE w:val="0"/>
      <w:autoSpaceDN w:val="0"/>
    </w:pPr>
    <w:rPr>
      <w:sz w:val="20"/>
      <w:szCs w:val="20"/>
    </w:rPr>
  </w:style>
  <w:style w:type="character" w:customStyle="1" w:styleId="ac">
    <w:name w:val="Текст концевой сноски Знак"/>
    <w:basedOn w:val="a0"/>
    <w:link w:val="ab"/>
    <w:uiPriority w:val="99"/>
    <w:rsid w:val="000F353B"/>
  </w:style>
  <w:style w:type="character" w:styleId="ad">
    <w:name w:val="Hyperlink"/>
    <w:uiPriority w:val="99"/>
    <w:unhideWhenUsed/>
    <w:rsid w:val="00A36121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mailto:imokt@yandex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37</TotalTime>
  <Pages>3</Pages>
  <Words>926</Words>
  <Characters>5280</Characters>
  <Application>Microsoft Office Word</Application>
  <DocSecurity>0</DocSecurity>
  <Lines>44</Lines>
  <Paragraphs>12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>CROC Inc.</Company>
  <LinksUpToDate>false</LinksUpToDate>
  <CharactersWithSpaces>6194</CharactersWithSpaces>
  <SharedDoc>false</SharedDoc>
  <HLinks>
    <vt:vector size="6" baseType="variant">
      <vt:variant>
        <vt:i4>4325496</vt:i4>
      </vt:variant>
      <vt:variant>
        <vt:i4>0</vt:i4>
      </vt:variant>
      <vt:variant>
        <vt:i4>0</vt:i4>
      </vt:variant>
      <vt:variant>
        <vt:i4>5</vt:i4>
      </vt:variant>
      <vt:variant>
        <vt:lpwstr>mailto:apshiryaevaoktperm@yandex.ru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EMarkin</dc:creator>
  <cp:lastModifiedBy>Кондрияненко</cp:lastModifiedBy>
  <cp:revision>7</cp:revision>
  <cp:lastPrinted>2017-03-09T03:48:00Z</cp:lastPrinted>
  <dcterms:created xsi:type="dcterms:W3CDTF">2017-01-27T06:33:00Z</dcterms:created>
  <dcterms:modified xsi:type="dcterms:W3CDTF">2017-05-02T11:53:00Z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doc_summary">
    <vt:lpwstr>Об утверждении типовых форм документов, используемых при проведении оценки регулирующего воздействия проектов нормативных правовых актов Администрации Октябрьского муниципального района Пермского края</vt:lpwstr>
  </property>
  <property fmtid="{D5CDD505-2E9C-101B-9397-08002B2CF9AE}" pid="3" name="reg_date">
    <vt:lpwstr>28.01.2016</vt:lpwstr>
  </property>
  <property fmtid="{D5CDD505-2E9C-101B-9397-08002B2CF9AE}" pid="4" name="reg_number">
    <vt:lpwstr>22-01-04</vt:lpwstr>
  </property>
  <property fmtid="{D5CDD505-2E9C-101B-9397-08002B2CF9AE}" pid="5" name="r_object_id">
    <vt:lpwstr>09000001943deb81</vt:lpwstr>
  </property>
  <property fmtid="{D5CDD505-2E9C-101B-9397-08002B2CF9AE}" pid="6" name="r_version_label">
    <vt:lpwstr>2.1</vt:lpwstr>
  </property>
  <property fmtid="{D5CDD505-2E9C-101B-9397-08002B2CF9AE}" pid="7" name="sign_flag">
    <vt:lpwstr>Подписан ЭЦП</vt:lpwstr>
  </property>
</Properties>
</file>