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EE8" w:rsidRPr="000F353B" w:rsidRDefault="006C3EE8" w:rsidP="00A36121">
      <w:pPr>
        <w:ind w:left="6804"/>
        <w:rPr>
          <w:sz w:val="20"/>
          <w:szCs w:val="20"/>
        </w:rPr>
      </w:pPr>
    </w:p>
    <w:p w:rsidR="00976418" w:rsidRPr="00EF571B" w:rsidRDefault="00976418" w:rsidP="00976418">
      <w:pPr>
        <w:jc w:val="right"/>
        <w:rPr>
          <w:szCs w:val="28"/>
        </w:rPr>
      </w:pPr>
    </w:p>
    <w:p w:rsidR="00976418" w:rsidRPr="00EF571B" w:rsidRDefault="00976418" w:rsidP="00976418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976418" w:rsidRPr="000F353B" w:rsidTr="00976418">
        <w:trPr>
          <w:trHeight w:val="1180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jc w:val="both"/>
              <w:rPr>
                <w:b/>
                <w:sz w:val="26"/>
                <w:szCs w:val="26"/>
              </w:rPr>
            </w:pPr>
          </w:p>
          <w:p w:rsidR="00A36121" w:rsidRPr="005E61EA" w:rsidRDefault="00976418" w:rsidP="00A361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0" w:lineRule="atLeast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0F353B">
              <w:rPr>
                <w:b/>
                <w:sz w:val="26"/>
                <w:szCs w:val="26"/>
              </w:rPr>
              <w:t xml:space="preserve">ПРИМЕРНЫЙ ПЕРЕЧЕНЬ ВОПРОСОВ В РАМКАХ ПРОВЕДЕНИЯ ПУБЛИЧНЫХ ОБСУЖДЕНИЙ </w:t>
            </w:r>
            <w:r w:rsidR="00A36121" w:rsidRPr="005E61EA">
              <w:rPr>
                <w:sz w:val="26"/>
                <w:szCs w:val="26"/>
              </w:rPr>
              <w:t>Постановлени</w:t>
            </w:r>
            <w:r w:rsidR="00CE528A">
              <w:rPr>
                <w:sz w:val="26"/>
                <w:szCs w:val="26"/>
              </w:rPr>
              <w:t>е</w:t>
            </w:r>
            <w:r w:rsidR="00A36121" w:rsidRPr="005E61EA">
              <w:rPr>
                <w:sz w:val="26"/>
                <w:szCs w:val="26"/>
              </w:rPr>
              <w:t xml:space="preserve"> Администрации Октябрьского </w:t>
            </w:r>
            <w:r w:rsidR="00D332CE" w:rsidRPr="005E61EA">
              <w:rPr>
                <w:sz w:val="26"/>
                <w:szCs w:val="26"/>
              </w:rPr>
              <w:t>городского округа</w:t>
            </w:r>
            <w:r w:rsidR="00A36121" w:rsidRPr="005E61EA">
              <w:rPr>
                <w:sz w:val="26"/>
                <w:szCs w:val="26"/>
              </w:rPr>
              <w:t xml:space="preserve"> Пермского </w:t>
            </w:r>
            <w:r w:rsidR="00A641D0" w:rsidRPr="00A641D0">
              <w:rPr>
                <w:sz w:val="26"/>
                <w:szCs w:val="26"/>
              </w:rPr>
              <w:t>края «Об утверждении административного регламента по предоставлению муниципальной услуги «Выдача разрешений арендаторам земельных участков, государственная собственность на которые не разграничена, расположенных на территории Октябрьского городского округа и находящихся в собственности муниципального образования «Октябрьский городской округ» на передачу их прав и обязанностей по действующим договорам аренды земельных участков третьим лицам».</w:t>
            </w: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  <w:r w:rsidRPr="000F353B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на адрес </w:t>
            </w:r>
            <w:hyperlink r:id="rId5" w:history="1">
              <w:r w:rsidR="00B81394" w:rsidRPr="008451B4">
                <w:rPr>
                  <w:rStyle w:val="ad"/>
                  <w:sz w:val="26"/>
                  <w:szCs w:val="26"/>
                  <w:lang w:val="en-US"/>
                </w:rPr>
                <w:t>imokt</w:t>
              </w:r>
              <w:r w:rsidR="00B81394" w:rsidRPr="008451B4">
                <w:rPr>
                  <w:rStyle w:val="ad"/>
                  <w:sz w:val="26"/>
                  <w:szCs w:val="26"/>
                </w:rPr>
                <w:t>@yandex.ru</w:t>
              </w:r>
            </w:hyperlink>
            <w:r w:rsidRPr="000F353B">
              <w:rPr>
                <w:sz w:val="26"/>
                <w:szCs w:val="26"/>
              </w:rPr>
              <w:t xml:space="preserve"> не позднее </w:t>
            </w:r>
            <w:bookmarkStart w:id="0" w:name="_GoBack"/>
            <w:r w:rsidR="00A641D0" w:rsidRPr="00A641D0">
              <w:rPr>
                <w:b/>
                <w:color w:val="FF0000"/>
                <w:sz w:val="26"/>
                <w:szCs w:val="26"/>
              </w:rPr>
              <w:t>12</w:t>
            </w:r>
            <w:bookmarkEnd w:id="0"/>
            <w:r w:rsidR="00A36121" w:rsidRPr="003B7ED1">
              <w:rPr>
                <w:b/>
                <w:color w:val="FF0000"/>
                <w:sz w:val="26"/>
                <w:szCs w:val="26"/>
              </w:rPr>
              <w:t>.0</w:t>
            </w:r>
            <w:r w:rsidR="004A6119">
              <w:rPr>
                <w:b/>
                <w:color w:val="FF0000"/>
                <w:sz w:val="26"/>
                <w:szCs w:val="26"/>
              </w:rPr>
              <w:t>3</w:t>
            </w:r>
            <w:r w:rsidR="00A36121" w:rsidRPr="003B7ED1">
              <w:rPr>
                <w:b/>
                <w:color w:val="FF0000"/>
                <w:sz w:val="26"/>
                <w:szCs w:val="26"/>
              </w:rPr>
              <w:t>.20</w:t>
            </w:r>
            <w:r w:rsidR="007628E8" w:rsidRPr="003B7ED1">
              <w:rPr>
                <w:b/>
                <w:color w:val="FF0000"/>
                <w:sz w:val="26"/>
                <w:szCs w:val="26"/>
              </w:rPr>
              <w:t>2</w:t>
            </w:r>
            <w:r w:rsidR="004A6119">
              <w:rPr>
                <w:b/>
                <w:color w:val="FF0000"/>
                <w:sz w:val="26"/>
                <w:szCs w:val="26"/>
              </w:rPr>
              <w:t>1</w:t>
            </w:r>
            <w:r w:rsidR="00A36121" w:rsidRPr="003B7ED1">
              <w:rPr>
                <w:b/>
                <w:color w:val="FF0000"/>
                <w:sz w:val="26"/>
                <w:szCs w:val="26"/>
              </w:rPr>
              <w:t>г.</w:t>
            </w:r>
            <w:r w:rsidRPr="003B7ED1">
              <w:rPr>
                <w:color w:val="FF0000"/>
                <w:sz w:val="26"/>
                <w:szCs w:val="26"/>
              </w:rPr>
              <w:t xml:space="preserve">  </w:t>
            </w:r>
            <w:r w:rsidRPr="000F353B">
              <w:rPr>
                <w:sz w:val="26"/>
                <w:szCs w:val="26"/>
              </w:rPr>
              <w:t xml:space="preserve"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976418" w:rsidRPr="000F353B" w:rsidRDefault="00976418" w:rsidP="009764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sz w:val="26"/>
                <w:szCs w:val="26"/>
              </w:rPr>
            </w:pPr>
          </w:p>
          <w:p w:rsidR="00976418" w:rsidRPr="000F353B" w:rsidRDefault="00976418" w:rsidP="00976418">
            <w:pPr>
              <w:jc w:val="both"/>
              <w:rPr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0F353B">
        <w:rPr>
          <w:b/>
          <w:sz w:val="26"/>
          <w:szCs w:val="26"/>
        </w:rPr>
        <w:t>Контактная информация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Название организации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031B8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Сферу деятельности организации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Ф.И.О. контактного лица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Номер контактного телефона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Адрес электронной почты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976418" w:rsidRPr="000F353B" w:rsidTr="00976418">
        <w:trPr>
          <w:trHeight w:val="397"/>
        </w:trPr>
        <w:tc>
          <w:tcPr>
            <w:tcW w:w="100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976418" w:rsidRPr="000F353B" w:rsidTr="00976418">
        <w:trPr>
          <w:trHeight w:val="37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Насколько корректно определены те факторы, которые обуславливают необходимость государственного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</w:t>
            </w:r>
            <w:proofErr w:type="spellStart"/>
            <w:r w:rsidRPr="000F353B">
              <w:rPr>
                <w:i/>
                <w:sz w:val="26"/>
                <w:szCs w:val="26"/>
              </w:rPr>
              <w:t>затратны</w:t>
            </w:r>
            <w:proofErr w:type="spellEnd"/>
            <w:r w:rsidRPr="000F353B">
              <w:rPr>
                <w:i/>
                <w:sz w:val="26"/>
                <w:szCs w:val="26"/>
              </w:rPr>
              <w:t xml:space="preserve"> и/или более эффективны?</w:t>
            </w:r>
          </w:p>
        </w:tc>
      </w:tr>
      <w:tr w:rsidR="00976418" w:rsidRPr="000F353B" w:rsidTr="00976418">
        <w:trPr>
          <w:trHeight w:val="43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количество в Вашем районе)?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ind w:left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 административные процедуры, реализуемые ответственными государственными органами,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76418" w:rsidRPr="000F353B" w:rsidTr="00976418">
        <w:trPr>
          <w:trHeight w:val="58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имеются  ли  технические ошибки;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0F353B">
              <w:rPr>
                <w:b/>
                <w:sz w:val="26"/>
                <w:szCs w:val="26"/>
              </w:rPr>
              <w:t xml:space="preserve"> </w:t>
            </w:r>
            <w:r w:rsidRPr="000F353B">
              <w:rPr>
                <w:i/>
                <w:sz w:val="26"/>
                <w:szCs w:val="26"/>
              </w:rPr>
              <w:t xml:space="preserve"> Приведите конкретные примеры.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976418" w:rsidRPr="000F353B" w:rsidTr="00976418">
        <w:trPr>
          <w:trHeight w:val="826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- </w:t>
            </w: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+1. Иные 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shd w:val="clear" w:color="auto" w:fill="auto"/>
          </w:tcPr>
          <w:p w:rsidR="00976418" w:rsidRPr="000F353B" w:rsidRDefault="00976418" w:rsidP="00976418">
            <w:pPr>
              <w:ind w:left="720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sectPr w:rsidR="00976418" w:rsidRPr="000F353B" w:rsidSect="0097641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E1F5579"/>
    <w:multiLevelType w:val="hybridMultilevel"/>
    <w:tmpl w:val="49804550"/>
    <w:lvl w:ilvl="0" w:tplc="9A3C890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530B19C" w:tentative="1">
      <w:start w:val="1"/>
      <w:numFmt w:val="lowerLetter"/>
      <w:lvlText w:val="%2."/>
      <w:lvlJc w:val="left"/>
      <w:pPr>
        <w:ind w:left="720" w:hanging="360"/>
      </w:pPr>
    </w:lvl>
    <w:lvl w:ilvl="2" w:tplc="1AA22334" w:tentative="1">
      <w:start w:val="1"/>
      <w:numFmt w:val="lowerRoman"/>
      <w:lvlText w:val="%3."/>
      <w:lvlJc w:val="right"/>
      <w:pPr>
        <w:ind w:left="1440" w:hanging="180"/>
      </w:pPr>
    </w:lvl>
    <w:lvl w:ilvl="3" w:tplc="049402B2" w:tentative="1">
      <w:start w:val="1"/>
      <w:numFmt w:val="decimal"/>
      <w:lvlText w:val="%4."/>
      <w:lvlJc w:val="left"/>
      <w:pPr>
        <w:ind w:left="2160" w:hanging="360"/>
      </w:pPr>
    </w:lvl>
    <w:lvl w:ilvl="4" w:tplc="E6F8342E" w:tentative="1">
      <w:start w:val="1"/>
      <w:numFmt w:val="lowerLetter"/>
      <w:lvlText w:val="%5."/>
      <w:lvlJc w:val="left"/>
      <w:pPr>
        <w:ind w:left="2880" w:hanging="360"/>
      </w:pPr>
    </w:lvl>
    <w:lvl w:ilvl="5" w:tplc="2EBEB90C" w:tentative="1">
      <w:start w:val="1"/>
      <w:numFmt w:val="lowerRoman"/>
      <w:lvlText w:val="%6."/>
      <w:lvlJc w:val="right"/>
      <w:pPr>
        <w:ind w:left="3600" w:hanging="180"/>
      </w:pPr>
    </w:lvl>
    <w:lvl w:ilvl="6" w:tplc="AA0CFF68" w:tentative="1">
      <w:start w:val="1"/>
      <w:numFmt w:val="decimal"/>
      <w:lvlText w:val="%7."/>
      <w:lvlJc w:val="left"/>
      <w:pPr>
        <w:ind w:left="4320" w:hanging="360"/>
      </w:pPr>
    </w:lvl>
    <w:lvl w:ilvl="7" w:tplc="EAA8CA4C" w:tentative="1">
      <w:start w:val="1"/>
      <w:numFmt w:val="lowerLetter"/>
      <w:lvlText w:val="%8."/>
      <w:lvlJc w:val="left"/>
      <w:pPr>
        <w:ind w:left="5040" w:hanging="360"/>
      </w:pPr>
    </w:lvl>
    <w:lvl w:ilvl="8" w:tplc="79CCEC44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31E7DFB"/>
    <w:multiLevelType w:val="hybridMultilevel"/>
    <w:tmpl w:val="BB7E4BEA"/>
    <w:lvl w:ilvl="0" w:tplc="5FEA29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EB01F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0088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6A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A2B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5EE0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C29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443E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A48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C71EB8"/>
    <w:multiLevelType w:val="hybridMultilevel"/>
    <w:tmpl w:val="FC88AF00"/>
    <w:lvl w:ilvl="0" w:tplc="FCC6E4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374406A" w:tentative="1">
      <w:start w:val="1"/>
      <w:numFmt w:val="lowerLetter"/>
      <w:lvlText w:val="%2."/>
      <w:lvlJc w:val="left"/>
      <w:pPr>
        <w:ind w:left="1800" w:hanging="360"/>
      </w:pPr>
    </w:lvl>
    <w:lvl w:ilvl="2" w:tplc="A8AEC7B6" w:tentative="1">
      <w:start w:val="1"/>
      <w:numFmt w:val="lowerRoman"/>
      <w:lvlText w:val="%3."/>
      <w:lvlJc w:val="right"/>
      <w:pPr>
        <w:ind w:left="2520" w:hanging="180"/>
      </w:pPr>
    </w:lvl>
    <w:lvl w:ilvl="3" w:tplc="2EA86BC0" w:tentative="1">
      <w:start w:val="1"/>
      <w:numFmt w:val="decimal"/>
      <w:lvlText w:val="%4."/>
      <w:lvlJc w:val="left"/>
      <w:pPr>
        <w:ind w:left="3240" w:hanging="360"/>
      </w:pPr>
    </w:lvl>
    <w:lvl w:ilvl="4" w:tplc="FD7888AC" w:tentative="1">
      <w:start w:val="1"/>
      <w:numFmt w:val="lowerLetter"/>
      <w:lvlText w:val="%5."/>
      <w:lvlJc w:val="left"/>
      <w:pPr>
        <w:ind w:left="3960" w:hanging="360"/>
      </w:pPr>
    </w:lvl>
    <w:lvl w:ilvl="5" w:tplc="A7FCF232" w:tentative="1">
      <w:start w:val="1"/>
      <w:numFmt w:val="lowerRoman"/>
      <w:lvlText w:val="%6."/>
      <w:lvlJc w:val="right"/>
      <w:pPr>
        <w:ind w:left="4680" w:hanging="180"/>
      </w:pPr>
    </w:lvl>
    <w:lvl w:ilvl="6" w:tplc="E7A8C970" w:tentative="1">
      <w:start w:val="1"/>
      <w:numFmt w:val="decimal"/>
      <w:lvlText w:val="%7."/>
      <w:lvlJc w:val="left"/>
      <w:pPr>
        <w:ind w:left="5400" w:hanging="360"/>
      </w:pPr>
    </w:lvl>
    <w:lvl w:ilvl="7" w:tplc="442EE454" w:tentative="1">
      <w:start w:val="1"/>
      <w:numFmt w:val="lowerLetter"/>
      <w:lvlText w:val="%8."/>
      <w:lvlJc w:val="left"/>
      <w:pPr>
        <w:ind w:left="6120" w:hanging="360"/>
      </w:pPr>
    </w:lvl>
    <w:lvl w:ilvl="8" w:tplc="11CE58F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31B8B"/>
    <w:rsid w:val="00052700"/>
    <w:rsid w:val="000A50F8"/>
    <w:rsid w:val="000B2D83"/>
    <w:rsid w:val="000D5E2D"/>
    <w:rsid w:val="000F2B93"/>
    <w:rsid w:val="000F578B"/>
    <w:rsid w:val="00142B47"/>
    <w:rsid w:val="001B7138"/>
    <w:rsid w:val="001B74C4"/>
    <w:rsid w:val="00226313"/>
    <w:rsid w:val="002605B4"/>
    <w:rsid w:val="003A1146"/>
    <w:rsid w:val="003B7ED1"/>
    <w:rsid w:val="003E72F4"/>
    <w:rsid w:val="00494652"/>
    <w:rsid w:val="0049791D"/>
    <w:rsid w:val="004A6119"/>
    <w:rsid w:val="004A7742"/>
    <w:rsid w:val="004E7515"/>
    <w:rsid w:val="00552E1C"/>
    <w:rsid w:val="005E61EA"/>
    <w:rsid w:val="00674653"/>
    <w:rsid w:val="006C3EE8"/>
    <w:rsid w:val="007407C0"/>
    <w:rsid w:val="007553C0"/>
    <w:rsid w:val="007628E8"/>
    <w:rsid w:val="00783FE2"/>
    <w:rsid w:val="007B63A3"/>
    <w:rsid w:val="00870893"/>
    <w:rsid w:val="008B77C3"/>
    <w:rsid w:val="00900B81"/>
    <w:rsid w:val="00976418"/>
    <w:rsid w:val="009A581E"/>
    <w:rsid w:val="00A36121"/>
    <w:rsid w:val="00A4686B"/>
    <w:rsid w:val="00A641D0"/>
    <w:rsid w:val="00B61ADA"/>
    <w:rsid w:val="00B81394"/>
    <w:rsid w:val="00C4621D"/>
    <w:rsid w:val="00C80448"/>
    <w:rsid w:val="00CE528A"/>
    <w:rsid w:val="00D332CE"/>
    <w:rsid w:val="00D41F7E"/>
    <w:rsid w:val="00E317FD"/>
    <w:rsid w:val="00E43E13"/>
    <w:rsid w:val="00F5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0B95A1-71DF-4877-A542-A10F8AAF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0F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F353B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0F353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0F353B"/>
  </w:style>
  <w:style w:type="character" w:styleId="ad">
    <w:name w:val="Hyperlink"/>
    <w:uiPriority w:val="99"/>
    <w:unhideWhenUsed/>
    <w:rsid w:val="00A361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ok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5370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6300</CharactersWithSpaces>
  <SharedDoc>false</SharedDoc>
  <HLinks>
    <vt:vector size="6" baseType="variant">
      <vt:variant>
        <vt:i4>4325496</vt:i4>
      </vt:variant>
      <vt:variant>
        <vt:i4>0</vt:i4>
      </vt:variant>
      <vt:variant>
        <vt:i4>0</vt:i4>
      </vt:variant>
      <vt:variant>
        <vt:i4>5</vt:i4>
      </vt:variant>
      <vt:variant>
        <vt:lpwstr>mailto:apshiryaevaoktperm@yandex.ru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user</cp:lastModifiedBy>
  <cp:revision>2</cp:revision>
  <cp:lastPrinted>2017-01-27T06:35:00Z</cp:lastPrinted>
  <dcterms:created xsi:type="dcterms:W3CDTF">2021-03-02T03:43:00Z</dcterms:created>
  <dcterms:modified xsi:type="dcterms:W3CDTF">2021-03-02T03:43:00Z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типовых форм документов, используемых при проведении оценки регулирующего воздействия проектов нормативных правовых актов Администрации Октябрьского муниципального района Пермского края</vt:lpwstr>
  </property>
  <property fmtid="{D5CDD505-2E9C-101B-9397-08002B2CF9AE}" pid="3" name="reg_date">
    <vt:lpwstr>28.01.2016</vt:lpwstr>
  </property>
  <property fmtid="{D5CDD505-2E9C-101B-9397-08002B2CF9AE}" pid="4" name="reg_number">
    <vt:lpwstr>22-01-04</vt:lpwstr>
  </property>
  <property fmtid="{D5CDD505-2E9C-101B-9397-08002B2CF9AE}" pid="5" name="r_object_id">
    <vt:lpwstr>09000001943deb81</vt:lpwstr>
  </property>
  <property fmtid="{D5CDD505-2E9C-101B-9397-08002B2CF9AE}" pid="6" name="r_version_label">
    <vt:lpwstr>2.1</vt:lpwstr>
  </property>
  <property fmtid="{D5CDD505-2E9C-101B-9397-08002B2CF9AE}" pid="7" name="sign_flag">
    <vt:lpwstr>Подписан ЭЦП</vt:lpwstr>
  </property>
</Properties>
</file>