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D61A34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 </w:t>
            </w:r>
            <w:r w:rsidR="00A36121" w:rsidRPr="001D5222">
              <w:rPr>
                <w:sz w:val="26"/>
                <w:szCs w:val="26"/>
              </w:rPr>
              <w:t xml:space="preserve">края </w:t>
            </w:r>
            <w:r w:rsidR="00BF1082">
              <w:rPr>
                <w:sz w:val="26"/>
                <w:szCs w:val="26"/>
              </w:rPr>
              <w:t>«</w:t>
            </w:r>
            <w:r w:rsidR="00D8182C" w:rsidRPr="00D8182C">
              <w:rPr>
                <w:sz w:val="26"/>
                <w:szCs w:val="26"/>
              </w:rPr>
              <w:t>Об утверждении административного регламента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</w:t>
            </w:r>
            <w:r w:rsidR="00BF1082">
              <w:rPr>
                <w:sz w:val="26"/>
                <w:szCs w:val="26"/>
              </w:rPr>
              <w:t>15</w:t>
            </w:r>
            <w:r w:rsidR="00D8182C" w:rsidRPr="00D8182C">
              <w:rPr>
                <w:sz w:val="26"/>
                <w:szCs w:val="26"/>
              </w:rPr>
              <w:t xml:space="preserve"> кг), подъема привязных аэростатов над населенными пунктами, а также посадки (взлета) на расположенные</w:t>
            </w:r>
            <w:proofErr w:type="gramEnd"/>
            <w:r w:rsidR="00D8182C" w:rsidRPr="00D8182C">
              <w:rPr>
                <w:sz w:val="26"/>
                <w:szCs w:val="26"/>
              </w:rPr>
              <w:t xml:space="preserve"> в границах населенных пунктов площадки, сведения о которых не опубликованы в документах аэронавигационной информации на территории Октябрьского городского округа Пермского края"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D8182C" w:rsidRPr="0058520C">
                <w:rPr>
                  <w:rStyle w:val="ad"/>
                  <w:sz w:val="26"/>
                  <w:szCs w:val="26"/>
                </w:rPr>
                <w:t>okt-sektorgrb@yandex.ru</w:t>
              </w:r>
            </w:hyperlink>
            <w:r w:rsidR="00D8182C">
              <w:rPr>
                <w:sz w:val="26"/>
                <w:szCs w:val="26"/>
              </w:rPr>
              <w:t xml:space="preserve"> </w:t>
            </w:r>
            <w:r w:rsidRPr="000F353B">
              <w:rPr>
                <w:sz w:val="26"/>
                <w:szCs w:val="26"/>
              </w:rPr>
              <w:t xml:space="preserve">не позднее </w:t>
            </w:r>
            <w:r w:rsidR="00AD318B">
              <w:rPr>
                <w:sz w:val="26"/>
                <w:szCs w:val="26"/>
              </w:rPr>
              <w:t>23.11.2022</w:t>
            </w:r>
            <w:bookmarkStart w:id="0" w:name="_GoBack"/>
            <w:bookmarkEnd w:id="0"/>
            <w:r w:rsidR="00A36121" w:rsidRPr="005D4DFF">
              <w:rPr>
                <w:b/>
                <w:sz w:val="26"/>
                <w:szCs w:val="26"/>
              </w:rPr>
              <w:t>г</w:t>
            </w:r>
            <w:r w:rsidR="00A36121">
              <w:rPr>
                <w:b/>
                <w:sz w:val="26"/>
                <w:szCs w:val="26"/>
              </w:rPr>
              <w:t>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6D499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D5222"/>
    <w:rsid w:val="001F099B"/>
    <w:rsid w:val="00327D9D"/>
    <w:rsid w:val="003A0B3F"/>
    <w:rsid w:val="0041397B"/>
    <w:rsid w:val="00524D09"/>
    <w:rsid w:val="005820AB"/>
    <w:rsid w:val="005D4DFF"/>
    <w:rsid w:val="00633C57"/>
    <w:rsid w:val="006C3EE8"/>
    <w:rsid w:val="006D499B"/>
    <w:rsid w:val="00741B75"/>
    <w:rsid w:val="007C648C"/>
    <w:rsid w:val="00817A3B"/>
    <w:rsid w:val="008A4040"/>
    <w:rsid w:val="008B69BC"/>
    <w:rsid w:val="008C3D0A"/>
    <w:rsid w:val="008F7D0F"/>
    <w:rsid w:val="00976418"/>
    <w:rsid w:val="00A36121"/>
    <w:rsid w:val="00AD318B"/>
    <w:rsid w:val="00B511C1"/>
    <w:rsid w:val="00BC1EB0"/>
    <w:rsid w:val="00BF1082"/>
    <w:rsid w:val="00C80448"/>
    <w:rsid w:val="00D029BE"/>
    <w:rsid w:val="00D61A34"/>
    <w:rsid w:val="00D8182C"/>
    <w:rsid w:val="00EC3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-sektorgrb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6401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Акулова Любовь Владимировна</cp:lastModifiedBy>
  <cp:revision>2</cp:revision>
  <cp:lastPrinted>2016-07-20T05:59:00Z</cp:lastPrinted>
  <dcterms:created xsi:type="dcterms:W3CDTF">2022-11-14T05:52:00Z</dcterms:created>
  <dcterms:modified xsi:type="dcterms:W3CDTF">2022-11-14T05:52:00Z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