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3" w:rsidRDefault="002C3A93" w:rsidP="002C3A93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12775" cy="95123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93" w:rsidRPr="002C3A93" w:rsidRDefault="002C3A93" w:rsidP="002C3A93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2C3A93">
        <w:rPr>
          <w:rFonts w:ascii="Times New Roman" w:hAnsi="Times New Roman"/>
          <w:b/>
          <w:szCs w:val="24"/>
          <w:lang w:val="ru-RU"/>
        </w:rPr>
        <w:t>КОНТРОЛЬНО-СЧЕТНАЯ ПАЛАТА</w:t>
      </w:r>
    </w:p>
    <w:p w:rsidR="002C3A93" w:rsidRPr="002C3A93" w:rsidRDefault="002C3A93" w:rsidP="002C3A93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2C3A93">
        <w:rPr>
          <w:rFonts w:ascii="Times New Roman" w:hAnsi="Times New Roman"/>
          <w:b/>
          <w:szCs w:val="24"/>
          <w:lang w:val="ru-RU"/>
        </w:rPr>
        <w:t xml:space="preserve"> ОКТЯБРЬСКОГО ГОРОДСКОГО ОКРУГА ПЕРМСКОГО КРАЯ</w:t>
      </w:r>
    </w:p>
    <w:p w:rsidR="002C3A93" w:rsidRPr="002C3A93" w:rsidRDefault="002C3A93" w:rsidP="002C3A9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bookmarkStart w:id="0" w:name="_GoBack"/>
      <w:bookmarkEnd w:id="0"/>
      <w:r w:rsidRPr="002C3A93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DE696A" w:rsidRDefault="00DE696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602635" w:rsidRPr="006C3938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ИНФОРМАЦИЯ</w:t>
      </w:r>
      <w:r w:rsidR="00602635" w:rsidRPr="006C393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602635" w:rsidRPr="006C3938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6C3938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6C3938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  <w:r w:rsidR="00A67DBA" w:rsidRPr="006C393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42023E" w:rsidRPr="006C3938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4D302C" w:rsidRPr="006C3938">
        <w:rPr>
          <w:rFonts w:ascii="Times New Roman" w:hAnsi="Times New Roman"/>
          <w:b/>
          <w:sz w:val="25"/>
          <w:szCs w:val="25"/>
          <w:lang w:val="ru-RU"/>
        </w:rPr>
        <w:t xml:space="preserve">1 квартал 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6C3938">
        <w:rPr>
          <w:rFonts w:ascii="Times New Roman" w:hAnsi="Times New Roman"/>
          <w:b/>
          <w:sz w:val="25"/>
          <w:szCs w:val="25"/>
          <w:lang w:val="ru-RU"/>
        </w:rPr>
        <w:t>2</w:t>
      </w:r>
      <w:r w:rsidR="00C830AF">
        <w:rPr>
          <w:rFonts w:ascii="Times New Roman" w:hAnsi="Times New Roman"/>
          <w:b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6C3938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6C3938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6C3938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6C3938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6C3938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6C3938">
        <w:rPr>
          <w:rFonts w:ascii="Times New Roman" w:hAnsi="Times New Roman"/>
          <w:b/>
          <w:sz w:val="25"/>
          <w:szCs w:val="25"/>
          <w:lang w:val="ru-RU"/>
        </w:rPr>
        <w:t>я</w:t>
      </w:r>
      <w:r w:rsidR="00AC02AC" w:rsidRPr="006C393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F47033" w:rsidRPr="006C3938">
        <w:rPr>
          <w:rFonts w:ascii="Times New Roman" w:hAnsi="Times New Roman"/>
          <w:b/>
          <w:sz w:val="25"/>
          <w:szCs w:val="25"/>
          <w:lang w:val="ru-RU"/>
        </w:rPr>
        <w:t xml:space="preserve"> бюджета </w:t>
      </w:r>
    </w:p>
    <w:p w:rsidR="004E59AC" w:rsidRPr="006C3938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6C3938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6C3938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302C" w:rsidRPr="006C3938">
        <w:rPr>
          <w:rFonts w:ascii="Times New Roman" w:hAnsi="Times New Roman"/>
          <w:sz w:val="25"/>
          <w:szCs w:val="25"/>
          <w:lang w:val="ru-RU"/>
        </w:rPr>
        <w:t>1 квартал 20</w:t>
      </w:r>
      <w:r w:rsidR="008263B6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C830AF">
        <w:rPr>
          <w:rFonts w:ascii="Times New Roman" w:hAnsi="Times New Roman"/>
          <w:sz w:val="25"/>
          <w:szCs w:val="25"/>
          <w:lang w:val="ru-RU"/>
        </w:rPr>
        <w:t>2</w:t>
      </w:r>
      <w:r w:rsidR="008263B6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C3938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6C3938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630FAE" w:rsidRPr="006C3938">
        <w:rPr>
          <w:rFonts w:ascii="Times New Roman" w:hAnsi="Times New Roman"/>
          <w:sz w:val="25"/>
          <w:szCs w:val="25"/>
          <w:lang w:val="ru-RU"/>
        </w:rPr>
        <w:t>-</w:t>
      </w:r>
      <w:r w:rsidR="00684B47"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6F7AD1">
        <w:rPr>
          <w:rFonts w:ascii="Times New Roman" w:hAnsi="Times New Roman"/>
          <w:sz w:val="25"/>
          <w:szCs w:val="25"/>
          <w:lang w:val="ru-RU"/>
        </w:rPr>
        <w:t>241 219,5</w:t>
      </w:r>
      <w:r w:rsidR="004B1694" w:rsidRPr="006C3938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D137DF" w:rsidRPr="006C3938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6C3938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расходы  -</w:t>
      </w:r>
      <w:r w:rsidR="006F7AD1">
        <w:rPr>
          <w:rFonts w:ascii="Times New Roman" w:hAnsi="Times New Roman"/>
          <w:sz w:val="25"/>
          <w:szCs w:val="25"/>
          <w:lang w:val="ru-RU"/>
        </w:rPr>
        <w:t xml:space="preserve"> 211 796,5</w:t>
      </w:r>
      <w:r w:rsidR="00535D4E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6C3938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687637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6C3938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6C3938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6C3938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6C3938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6F7AD1">
        <w:rPr>
          <w:rFonts w:ascii="Times New Roman" w:hAnsi="Times New Roman"/>
          <w:sz w:val="25"/>
          <w:szCs w:val="25"/>
          <w:lang w:val="ru-RU"/>
        </w:rPr>
        <w:t xml:space="preserve"> 29 423,0</w:t>
      </w:r>
      <w:r w:rsidR="00535D4E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62FA" w:rsidRPr="006C3938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6C3938" w:rsidRDefault="00687637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Отчет об исполнении бюджета Октябрьского городского округа Пермского края за 1 квартал 2022 года утвержден распоряжением Администрации Октябрьского городского округа Пермского края от 13.05.2022 № 240-266-01-06.</w:t>
      </w:r>
      <w:r w:rsidR="007762FA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559CD" w:rsidRPr="006C3938" w:rsidRDefault="00D4027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559CD"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E2D5D" w:rsidRPr="006C3938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123E10" w:rsidRPr="006C3938" w:rsidRDefault="00123E10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053CDB" w:rsidRPr="006C3938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6C3938" w:rsidRDefault="00123E10" w:rsidP="00951BCC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Решение</w:t>
      </w:r>
      <w:r w:rsidR="00951BCC" w:rsidRPr="006C3938">
        <w:rPr>
          <w:rFonts w:ascii="Times New Roman" w:hAnsi="Times New Roman"/>
          <w:sz w:val="25"/>
          <w:szCs w:val="25"/>
          <w:lang w:val="ru-RU"/>
        </w:rPr>
        <w:t>м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Думы Октябрьского городского округа Пермского края от </w:t>
      </w:r>
      <w:r w:rsidR="00C830AF">
        <w:rPr>
          <w:rFonts w:ascii="Times New Roman" w:hAnsi="Times New Roman"/>
          <w:sz w:val="25"/>
          <w:szCs w:val="25"/>
          <w:lang w:val="ru-RU"/>
        </w:rPr>
        <w:t>8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декабря 202</w:t>
      </w:r>
      <w:r w:rsidR="00C830AF">
        <w:rPr>
          <w:rFonts w:ascii="Times New Roman" w:hAnsi="Times New Roman"/>
          <w:sz w:val="25"/>
          <w:szCs w:val="25"/>
          <w:lang w:val="ru-RU"/>
        </w:rPr>
        <w:t>1 г. № 447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городского округа Пермского края на 202</w:t>
      </w:r>
      <w:r w:rsidR="00C830AF">
        <w:rPr>
          <w:rFonts w:ascii="Times New Roman" w:hAnsi="Times New Roman"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 и на плановый период 202</w:t>
      </w:r>
      <w:r w:rsidR="00C830AF">
        <w:rPr>
          <w:rFonts w:ascii="Times New Roman" w:hAnsi="Times New Roman"/>
          <w:sz w:val="25"/>
          <w:szCs w:val="25"/>
          <w:lang w:val="ru-RU"/>
        </w:rPr>
        <w:t>3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и 202</w:t>
      </w:r>
      <w:r w:rsidR="00C830AF">
        <w:rPr>
          <w:rFonts w:ascii="Times New Roman" w:hAnsi="Times New Roman"/>
          <w:sz w:val="25"/>
          <w:szCs w:val="25"/>
          <w:lang w:val="ru-RU"/>
        </w:rPr>
        <w:t>4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годов»</w:t>
      </w:r>
      <w:r w:rsidR="00951BCC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6C3938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6C3938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6C3938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553605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C830AF">
        <w:rPr>
          <w:rFonts w:ascii="Times New Roman" w:hAnsi="Times New Roman"/>
          <w:sz w:val="25"/>
          <w:szCs w:val="25"/>
          <w:lang w:val="ru-RU"/>
        </w:rPr>
        <w:t>2</w:t>
      </w:r>
      <w:r w:rsidR="00071B59" w:rsidRPr="006C3938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6C3938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6C3938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951BCC" w:rsidRPr="006C3938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071B59" w:rsidRPr="006C3938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951BCC" w:rsidRPr="006C3938">
        <w:rPr>
          <w:rFonts w:ascii="Times New Roman" w:hAnsi="Times New Roman"/>
          <w:sz w:val="25"/>
          <w:szCs w:val="25"/>
          <w:lang w:val="ru-RU"/>
        </w:rPr>
        <w:t>1</w:t>
      </w:r>
      <w:r w:rsidR="00821694">
        <w:rPr>
          <w:rFonts w:ascii="Times New Roman" w:hAnsi="Times New Roman"/>
          <w:sz w:val="25"/>
          <w:szCs w:val="25"/>
          <w:lang w:val="ru-RU"/>
        </w:rPr>
        <w:t> </w:t>
      </w:r>
      <w:r w:rsidR="0054644E">
        <w:rPr>
          <w:rFonts w:ascii="Times New Roman" w:hAnsi="Times New Roman"/>
          <w:sz w:val="25"/>
          <w:szCs w:val="25"/>
          <w:lang w:val="ru-RU"/>
        </w:rPr>
        <w:t>2</w:t>
      </w:r>
      <w:r w:rsidR="00821694">
        <w:rPr>
          <w:rFonts w:ascii="Times New Roman" w:hAnsi="Times New Roman"/>
          <w:sz w:val="25"/>
          <w:szCs w:val="25"/>
          <w:lang w:val="ru-RU"/>
        </w:rPr>
        <w:t>18 919,5</w:t>
      </w:r>
      <w:r w:rsidR="0054644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6C3938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35D4E" w:rsidRPr="006C3938" w:rsidRDefault="009D5697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242B0F" w:rsidRPr="006C3938">
        <w:rPr>
          <w:rFonts w:ascii="Times New Roman" w:hAnsi="Times New Roman"/>
          <w:sz w:val="25"/>
          <w:szCs w:val="25"/>
          <w:lang w:val="ru-RU"/>
        </w:rPr>
        <w:tab/>
      </w:r>
      <w:r w:rsidR="000862AC" w:rsidRPr="006C3938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6C3938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6C3938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2856AD" w:rsidRPr="006C3938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682C55" w:rsidRPr="006C3938">
        <w:rPr>
          <w:rFonts w:ascii="Times New Roman" w:hAnsi="Times New Roman"/>
          <w:sz w:val="25"/>
          <w:szCs w:val="25"/>
          <w:lang w:val="ru-RU"/>
        </w:rPr>
        <w:t>квартал 20</w:t>
      </w:r>
      <w:r w:rsidR="001B1701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54644E">
        <w:rPr>
          <w:rFonts w:ascii="Times New Roman" w:hAnsi="Times New Roman"/>
          <w:sz w:val="25"/>
          <w:szCs w:val="25"/>
          <w:lang w:val="ru-RU"/>
        </w:rPr>
        <w:t>2</w:t>
      </w:r>
      <w:r w:rsidR="00682C55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6C3938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6C3938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821694">
        <w:rPr>
          <w:rFonts w:ascii="Times New Roman" w:hAnsi="Times New Roman"/>
          <w:sz w:val="25"/>
          <w:szCs w:val="25"/>
          <w:lang w:val="ru-RU"/>
        </w:rPr>
        <w:t>236 952,4</w:t>
      </w:r>
      <w:r w:rsidR="00535D4E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48CD" w:rsidRPr="006C3938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951BCC" w:rsidRPr="006C3938">
        <w:rPr>
          <w:rFonts w:ascii="Times New Roman" w:hAnsi="Times New Roman"/>
          <w:sz w:val="25"/>
          <w:szCs w:val="25"/>
          <w:lang w:val="ru-RU"/>
        </w:rPr>
        <w:t>19,</w:t>
      </w:r>
      <w:r w:rsidR="00821694">
        <w:rPr>
          <w:rFonts w:ascii="Times New Roman" w:hAnsi="Times New Roman"/>
          <w:sz w:val="25"/>
          <w:szCs w:val="25"/>
          <w:lang w:val="ru-RU"/>
        </w:rPr>
        <w:t>4</w:t>
      </w:r>
      <w:r w:rsidR="00535D4E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71133" w:rsidRPr="006C3938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6C3938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1A1283" w:rsidRPr="006C3938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6C3938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FA1A1C" w:rsidRPr="006C3938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54644E">
        <w:rPr>
          <w:rFonts w:ascii="Times New Roman" w:hAnsi="Times New Roman"/>
          <w:sz w:val="25"/>
          <w:szCs w:val="25"/>
          <w:lang w:val="ru-RU"/>
        </w:rPr>
        <w:t>2</w:t>
      </w:r>
      <w:r w:rsidR="00FA1A1C" w:rsidRPr="006C3938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6C3938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6C3938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6C3938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6C3938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821694">
        <w:rPr>
          <w:rFonts w:ascii="Times New Roman" w:hAnsi="Times New Roman"/>
          <w:sz w:val="25"/>
          <w:szCs w:val="25"/>
          <w:lang w:val="ru-RU"/>
        </w:rPr>
        <w:t>248 031,7</w:t>
      </w:r>
      <w:r w:rsidR="004C049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6C3938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1A1283" w:rsidRPr="006C3938">
        <w:rPr>
          <w:rFonts w:ascii="Times New Roman" w:hAnsi="Times New Roman"/>
          <w:sz w:val="25"/>
          <w:szCs w:val="25"/>
          <w:lang w:val="ru-RU"/>
        </w:rPr>
        <w:t>на уровне плановых назначений  отчетного периода (10</w:t>
      </w:r>
      <w:r w:rsidR="00821694">
        <w:rPr>
          <w:rFonts w:ascii="Times New Roman" w:hAnsi="Times New Roman"/>
          <w:sz w:val="25"/>
          <w:szCs w:val="25"/>
          <w:lang w:val="ru-RU"/>
        </w:rPr>
        <w:t>4</w:t>
      </w:r>
      <w:r w:rsidR="001A1283" w:rsidRPr="006C3938">
        <w:rPr>
          <w:rFonts w:ascii="Times New Roman" w:hAnsi="Times New Roman"/>
          <w:sz w:val="25"/>
          <w:szCs w:val="25"/>
          <w:lang w:val="ru-RU"/>
        </w:rPr>
        <w:t>,</w:t>
      </w:r>
      <w:r w:rsidR="00821694">
        <w:rPr>
          <w:rFonts w:ascii="Times New Roman" w:hAnsi="Times New Roman"/>
          <w:sz w:val="25"/>
          <w:szCs w:val="25"/>
          <w:lang w:val="ru-RU"/>
        </w:rPr>
        <w:t xml:space="preserve">7 </w:t>
      </w:r>
      <w:r w:rsidR="001A1283" w:rsidRPr="006C3938">
        <w:rPr>
          <w:rFonts w:ascii="Times New Roman" w:hAnsi="Times New Roman"/>
          <w:sz w:val="25"/>
          <w:szCs w:val="25"/>
          <w:lang w:val="ru-RU"/>
        </w:rPr>
        <w:t>% к плану 1 квартала).</w:t>
      </w:r>
    </w:p>
    <w:p w:rsidR="00225A8E" w:rsidRPr="006C3938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6C3938" w:rsidRDefault="00225A8E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6C3938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6C3938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6C3938">
        <w:rPr>
          <w:rFonts w:ascii="Times New Roman" w:hAnsi="Times New Roman"/>
          <w:sz w:val="25"/>
          <w:szCs w:val="25"/>
          <w:lang w:val="ru-RU"/>
        </w:rPr>
        <w:t xml:space="preserve">доходы от возврата остатков </w:t>
      </w:r>
      <w:r w:rsidR="00D22C04" w:rsidRPr="006C3938">
        <w:rPr>
          <w:rFonts w:ascii="Times New Roman" w:hAnsi="Times New Roman"/>
          <w:sz w:val="25"/>
          <w:szCs w:val="25"/>
          <w:lang w:val="ru-RU"/>
        </w:rPr>
        <w:t>202</w:t>
      </w:r>
      <w:r w:rsidR="0054644E">
        <w:rPr>
          <w:rFonts w:ascii="Times New Roman" w:hAnsi="Times New Roman"/>
          <w:sz w:val="25"/>
          <w:szCs w:val="25"/>
          <w:lang w:val="ru-RU"/>
        </w:rPr>
        <w:t>1</w:t>
      </w:r>
      <w:r w:rsidR="00D22C04" w:rsidRPr="006C3938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395038" w:rsidRPr="006C3938">
        <w:rPr>
          <w:rFonts w:ascii="Times New Roman" w:hAnsi="Times New Roman"/>
          <w:sz w:val="25"/>
          <w:szCs w:val="25"/>
          <w:lang w:val="ru-RU"/>
        </w:rPr>
        <w:t>субсидий, суб</w:t>
      </w:r>
      <w:r w:rsidR="00C81760" w:rsidRPr="006C3938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6C3938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6C3938">
        <w:rPr>
          <w:rFonts w:ascii="Times New Roman" w:hAnsi="Times New Roman"/>
          <w:sz w:val="25"/>
          <w:szCs w:val="25"/>
          <w:lang w:val="ru-RU"/>
        </w:rPr>
        <w:t xml:space="preserve">елевое назначение, </w:t>
      </w:r>
      <w:r w:rsidR="00D22C04" w:rsidRPr="006C3938">
        <w:rPr>
          <w:rFonts w:ascii="Times New Roman" w:hAnsi="Times New Roman"/>
          <w:sz w:val="25"/>
          <w:szCs w:val="25"/>
          <w:lang w:val="ru-RU"/>
        </w:rPr>
        <w:t xml:space="preserve"> от бюджетных,  автономных учреждений  и иных организаций  в о</w:t>
      </w:r>
      <w:r w:rsidR="00554F86" w:rsidRPr="006C3938">
        <w:rPr>
          <w:rFonts w:ascii="Times New Roman" w:hAnsi="Times New Roman"/>
          <w:sz w:val="25"/>
          <w:szCs w:val="25"/>
          <w:lang w:val="ru-RU"/>
        </w:rPr>
        <w:t xml:space="preserve">бщей сумме </w:t>
      </w:r>
      <w:r w:rsidR="00821694">
        <w:rPr>
          <w:rFonts w:ascii="Times New Roman" w:hAnsi="Times New Roman"/>
          <w:sz w:val="25"/>
          <w:szCs w:val="25"/>
          <w:lang w:val="ru-RU"/>
        </w:rPr>
        <w:t xml:space="preserve">8 248,0 </w:t>
      </w:r>
      <w:r w:rsidR="00554F86" w:rsidRPr="006C3938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225A8E" w:rsidRPr="006C3938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6C3938">
        <w:rPr>
          <w:rFonts w:ascii="Times New Roman" w:hAnsi="Times New Roman"/>
          <w:sz w:val="25"/>
          <w:szCs w:val="25"/>
          <w:lang w:val="ru-RU"/>
        </w:rPr>
        <w:t>доходы в виде остатков субсидий, субвенций и иных межбюджетных трансфертов</w:t>
      </w:r>
      <w:r w:rsidR="00980E41" w:rsidRPr="006C3938">
        <w:rPr>
          <w:rFonts w:ascii="Times New Roman" w:hAnsi="Times New Roman"/>
          <w:sz w:val="25"/>
          <w:szCs w:val="25"/>
          <w:lang w:val="ru-RU"/>
        </w:rPr>
        <w:t xml:space="preserve"> 202</w:t>
      </w:r>
      <w:r w:rsidR="0054644E">
        <w:rPr>
          <w:rFonts w:ascii="Times New Roman" w:hAnsi="Times New Roman"/>
          <w:sz w:val="25"/>
          <w:szCs w:val="25"/>
          <w:lang w:val="ru-RU"/>
        </w:rPr>
        <w:t>1</w:t>
      </w:r>
      <w:r w:rsidR="00980E41" w:rsidRPr="006C3938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, имеющих целевое назначение,  в общей сумме </w:t>
      </w:r>
      <w:r w:rsidR="00821694">
        <w:rPr>
          <w:rFonts w:ascii="Times New Roman" w:hAnsi="Times New Roman"/>
          <w:sz w:val="25"/>
          <w:szCs w:val="25"/>
          <w:lang w:val="ru-RU"/>
        </w:rPr>
        <w:t>15 060,2</w:t>
      </w:r>
      <w:r w:rsidR="00392BE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3B32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3EC" w:rsidRPr="006C3938">
        <w:rPr>
          <w:rFonts w:ascii="Times New Roman" w:hAnsi="Times New Roman"/>
          <w:sz w:val="25"/>
          <w:szCs w:val="25"/>
          <w:lang w:val="ru-RU"/>
        </w:rPr>
        <w:t>тыс. руб.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323EC" w:rsidRPr="006C3938" w:rsidRDefault="00322A4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Всего с</w:t>
      </w:r>
      <w:r w:rsidR="004E200F" w:rsidRPr="006C3938">
        <w:rPr>
          <w:rFonts w:ascii="Times New Roman" w:hAnsi="Times New Roman"/>
          <w:sz w:val="25"/>
          <w:szCs w:val="25"/>
          <w:lang w:val="ru-RU"/>
        </w:rPr>
        <w:t xml:space="preserve"> учетом возврата остатков субсидий, субвенций и иных межбюджетных трансфертов</w:t>
      </w:r>
      <w:r w:rsidR="00945B61" w:rsidRPr="006C3938">
        <w:rPr>
          <w:rFonts w:ascii="Times New Roman" w:hAnsi="Times New Roman"/>
          <w:sz w:val="25"/>
          <w:szCs w:val="25"/>
          <w:lang w:val="ru-RU"/>
        </w:rPr>
        <w:t xml:space="preserve"> 202</w:t>
      </w:r>
      <w:r w:rsidR="0054644E">
        <w:rPr>
          <w:rFonts w:ascii="Times New Roman" w:hAnsi="Times New Roman"/>
          <w:sz w:val="25"/>
          <w:szCs w:val="25"/>
          <w:lang w:val="ru-RU"/>
        </w:rPr>
        <w:t>1</w:t>
      </w:r>
      <w:r w:rsidR="00945B61" w:rsidRPr="006C3938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4E200F" w:rsidRPr="006C3938">
        <w:rPr>
          <w:rFonts w:ascii="Times New Roman" w:hAnsi="Times New Roman"/>
          <w:sz w:val="25"/>
          <w:szCs w:val="25"/>
          <w:lang w:val="ru-RU"/>
        </w:rPr>
        <w:t>, имеющих целевое назначение, о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 xml:space="preserve">бщие </w:t>
      </w:r>
      <w:r w:rsidR="00980E41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644E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980E41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 xml:space="preserve">бюджета Октябрьского 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225A8E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54644E">
        <w:rPr>
          <w:rFonts w:ascii="Times New Roman" w:hAnsi="Times New Roman"/>
          <w:sz w:val="25"/>
          <w:szCs w:val="25"/>
          <w:lang w:val="ru-RU"/>
        </w:rPr>
        <w:t>2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7A697F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21694">
        <w:rPr>
          <w:rFonts w:ascii="Times New Roman" w:hAnsi="Times New Roman"/>
          <w:sz w:val="25"/>
          <w:szCs w:val="25"/>
          <w:lang w:val="ru-RU"/>
        </w:rPr>
        <w:t>241 219,5</w:t>
      </w:r>
      <w:r w:rsidR="00260C06" w:rsidRPr="006C3938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E71133" w:rsidRPr="006C3938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lastRenderedPageBreak/>
        <w:t>Из общего объема поступлений</w:t>
      </w:r>
      <w:r w:rsidR="0054413A" w:rsidRPr="006C3938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392BE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2A46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821694">
        <w:rPr>
          <w:rFonts w:ascii="Times New Roman" w:hAnsi="Times New Roman"/>
          <w:sz w:val="25"/>
          <w:szCs w:val="25"/>
          <w:lang w:val="ru-RU"/>
        </w:rPr>
        <w:t>48 031,7</w:t>
      </w:r>
      <w:r w:rsidR="007A37D9" w:rsidRPr="006C3938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A81CB7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413A" w:rsidRPr="006C3938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собственные доходы составили </w:t>
      </w:r>
      <w:r w:rsidR="00322A46" w:rsidRPr="006C3938">
        <w:rPr>
          <w:rFonts w:ascii="Times New Roman" w:hAnsi="Times New Roman"/>
          <w:sz w:val="25"/>
          <w:szCs w:val="25"/>
          <w:lang w:val="ru-RU"/>
        </w:rPr>
        <w:t>5</w:t>
      </w:r>
      <w:r w:rsidR="00821694">
        <w:rPr>
          <w:rFonts w:ascii="Times New Roman" w:hAnsi="Times New Roman"/>
          <w:sz w:val="25"/>
          <w:szCs w:val="25"/>
          <w:lang w:val="ru-RU"/>
        </w:rPr>
        <w:t>7 054,8</w:t>
      </w:r>
      <w:r w:rsidR="00392BE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C3938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821694">
        <w:rPr>
          <w:rFonts w:ascii="Times New Roman" w:hAnsi="Times New Roman"/>
          <w:sz w:val="25"/>
          <w:szCs w:val="25"/>
          <w:lang w:val="ru-RU"/>
        </w:rPr>
        <w:t>23,0</w:t>
      </w:r>
      <w:r w:rsidR="00322A46" w:rsidRPr="006C3938">
        <w:rPr>
          <w:rFonts w:ascii="Times New Roman" w:hAnsi="Times New Roman"/>
          <w:sz w:val="25"/>
          <w:szCs w:val="25"/>
          <w:lang w:val="ru-RU"/>
        </w:rPr>
        <w:t>%</w:t>
      </w:r>
      <w:r w:rsidR="00392BE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D75CA" w:rsidRPr="006C3938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6C3938">
        <w:rPr>
          <w:rFonts w:ascii="Times New Roman" w:hAnsi="Times New Roman"/>
          <w:sz w:val="25"/>
          <w:szCs w:val="25"/>
          <w:lang w:val="ru-RU"/>
        </w:rPr>
        <w:t>)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6C3938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D72912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4BD8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2A46" w:rsidRPr="006C3938">
        <w:rPr>
          <w:rFonts w:ascii="Times New Roman" w:hAnsi="Times New Roman"/>
          <w:sz w:val="25"/>
          <w:szCs w:val="25"/>
          <w:lang w:val="ru-RU"/>
        </w:rPr>
        <w:t>1</w:t>
      </w:r>
      <w:r w:rsidR="00821694">
        <w:rPr>
          <w:rFonts w:ascii="Times New Roman" w:hAnsi="Times New Roman"/>
          <w:sz w:val="25"/>
          <w:szCs w:val="25"/>
          <w:lang w:val="ru-RU"/>
        </w:rPr>
        <w:t>90 976,9</w:t>
      </w:r>
      <w:r w:rsidR="00392BE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2912" w:rsidRPr="006C3938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821694">
        <w:rPr>
          <w:rFonts w:ascii="Times New Roman" w:hAnsi="Times New Roman"/>
          <w:sz w:val="25"/>
          <w:szCs w:val="25"/>
          <w:lang w:val="ru-RU"/>
        </w:rPr>
        <w:t xml:space="preserve">77,0 </w:t>
      </w:r>
      <w:r w:rsidR="000E0BEC" w:rsidRPr="006C3938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6C3938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6C3938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6C3938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6C3938">
        <w:rPr>
          <w:rFonts w:ascii="Times New Roman" w:hAnsi="Times New Roman"/>
          <w:b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6C3938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6C3938">
        <w:rPr>
          <w:rFonts w:ascii="Times New Roman" w:hAnsi="Times New Roman"/>
          <w:sz w:val="25"/>
          <w:szCs w:val="25"/>
          <w:lang w:val="ru-RU"/>
        </w:rPr>
        <w:t>городского округа в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1 квартал</w:t>
      </w:r>
      <w:r w:rsidR="00995C1A" w:rsidRPr="006C3938">
        <w:rPr>
          <w:rFonts w:ascii="Times New Roman" w:hAnsi="Times New Roman"/>
          <w:sz w:val="25"/>
          <w:szCs w:val="25"/>
          <w:lang w:val="ru-RU"/>
        </w:rPr>
        <w:t>е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54644E">
        <w:rPr>
          <w:rFonts w:ascii="Times New Roman" w:hAnsi="Times New Roman"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CC6EBE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6C3938">
        <w:rPr>
          <w:rFonts w:ascii="Times New Roman" w:hAnsi="Times New Roman"/>
          <w:sz w:val="25"/>
          <w:szCs w:val="25"/>
          <w:lang w:val="ru-RU"/>
        </w:rPr>
        <w:t>п</w:t>
      </w:r>
      <w:r w:rsidRPr="006C3938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6C3938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687637" w:rsidRPr="006C3938" w:rsidRDefault="00687637" w:rsidP="00687637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Поступление собственных доходов в 202</w:t>
      </w:r>
      <w:r>
        <w:rPr>
          <w:rFonts w:ascii="Times New Roman" w:hAnsi="Times New Roman"/>
          <w:b/>
          <w:sz w:val="25"/>
          <w:szCs w:val="25"/>
          <w:lang w:val="ru-RU"/>
        </w:rPr>
        <w:t>1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>-202</w:t>
      </w:r>
      <w:r>
        <w:rPr>
          <w:rFonts w:ascii="Times New Roman" w:hAnsi="Times New Roman"/>
          <w:b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 гг.</w:t>
      </w:r>
    </w:p>
    <w:p w:rsidR="00742C7B" w:rsidRPr="006C3938" w:rsidRDefault="00A25829" w:rsidP="00A25829">
      <w:pPr>
        <w:jc w:val="right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C0525" w:rsidRPr="006C3938">
        <w:rPr>
          <w:rFonts w:ascii="Times New Roman" w:hAnsi="Times New Roman"/>
          <w:sz w:val="25"/>
          <w:szCs w:val="25"/>
          <w:lang w:val="ru-RU"/>
        </w:rPr>
        <w:t xml:space="preserve">Таб.1 </w:t>
      </w:r>
    </w:p>
    <w:p w:rsidR="00C46E05" w:rsidRPr="002F7516" w:rsidRDefault="002F7516" w:rsidP="00C46E0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Тыс. руб.</w:t>
      </w: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418"/>
        <w:gridCol w:w="1275"/>
        <w:gridCol w:w="1573"/>
      </w:tblGrid>
      <w:tr w:rsidR="00C46E05" w:rsidRPr="002C3A93" w:rsidTr="000C3BD6">
        <w:trPr>
          <w:trHeight w:val="471"/>
        </w:trPr>
        <w:tc>
          <w:tcPr>
            <w:tcW w:w="2836" w:type="dxa"/>
            <w:vMerge w:val="restart"/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C46E05" w:rsidRPr="006C3938" w:rsidRDefault="00C46E05" w:rsidP="0054644E">
            <w:pPr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 xml:space="preserve">Изменения поступлений  в </w:t>
            </w:r>
            <w:r w:rsidR="000C3BD6" w:rsidRPr="006C3938">
              <w:rPr>
                <w:rFonts w:ascii="Times New Roman" w:hAnsi="Times New Roman"/>
                <w:lang w:val="ru-RU"/>
              </w:rPr>
              <w:t xml:space="preserve">1 кв. </w:t>
            </w:r>
            <w:r w:rsidRPr="006C3938">
              <w:rPr>
                <w:rFonts w:ascii="Times New Roman" w:hAnsi="Times New Roman"/>
                <w:lang w:val="ru-RU"/>
              </w:rPr>
              <w:t>20</w:t>
            </w:r>
            <w:r w:rsidR="000C3BD6" w:rsidRPr="006C3938">
              <w:rPr>
                <w:rFonts w:ascii="Times New Roman" w:hAnsi="Times New Roman"/>
                <w:lang w:val="ru-RU"/>
              </w:rPr>
              <w:t>2</w:t>
            </w:r>
            <w:r w:rsidR="0054644E">
              <w:rPr>
                <w:rFonts w:ascii="Times New Roman" w:hAnsi="Times New Roman"/>
                <w:lang w:val="ru-RU"/>
              </w:rPr>
              <w:t>2</w:t>
            </w:r>
            <w:r w:rsidRPr="006C3938">
              <w:rPr>
                <w:rFonts w:ascii="Times New Roman" w:hAnsi="Times New Roman"/>
                <w:lang w:val="ru-RU"/>
              </w:rPr>
              <w:t xml:space="preserve"> году в сравнении с 1 кв.20</w:t>
            </w:r>
            <w:r w:rsidR="000C3BD6" w:rsidRPr="006C3938">
              <w:rPr>
                <w:rFonts w:ascii="Times New Roman" w:hAnsi="Times New Roman"/>
                <w:lang w:val="ru-RU"/>
              </w:rPr>
              <w:t>2</w:t>
            </w:r>
            <w:r w:rsidR="0054644E">
              <w:rPr>
                <w:rFonts w:ascii="Times New Roman" w:hAnsi="Times New Roman"/>
                <w:lang w:val="ru-RU"/>
              </w:rPr>
              <w:t>1</w:t>
            </w:r>
            <w:r w:rsidRPr="006C3938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C46E05" w:rsidRPr="006C3938" w:rsidTr="0054644E">
        <w:trPr>
          <w:trHeight w:val="375"/>
        </w:trPr>
        <w:tc>
          <w:tcPr>
            <w:tcW w:w="2836" w:type="dxa"/>
            <w:vMerge/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E05" w:rsidRDefault="00C46E05" w:rsidP="0054644E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1кв.202</w:t>
            </w:r>
            <w:r w:rsidR="0054644E">
              <w:rPr>
                <w:rFonts w:ascii="Times New Roman" w:hAnsi="Times New Roman"/>
                <w:lang w:val="ru-RU"/>
              </w:rPr>
              <w:t>1</w:t>
            </w:r>
          </w:p>
          <w:p w:rsidR="0054644E" w:rsidRPr="0054644E" w:rsidRDefault="0054644E" w:rsidP="0054644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644E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E05" w:rsidRPr="006C3938" w:rsidRDefault="00C46E05" w:rsidP="0054644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 xml:space="preserve">         1 кв. 202</w:t>
            </w:r>
            <w:r w:rsidR="00546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C46E05" w:rsidRPr="006C3938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6C3938" w:rsidTr="0054644E">
        <w:trPr>
          <w:trHeight w:val="271"/>
        </w:trPr>
        <w:tc>
          <w:tcPr>
            <w:tcW w:w="2836" w:type="dxa"/>
            <w:vMerge/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6E05" w:rsidRPr="006C3938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46E05" w:rsidRPr="006C3938" w:rsidRDefault="00C46E05" w:rsidP="000632DE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C46E05" w:rsidRPr="006C3938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6C3938" w:rsidTr="0054644E">
        <w:trPr>
          <w:trHeight w:val="288"/>
        </w:trPr>
        <w:tc>
          <w:tcPr>
            <w:tcW w:w="2836" w:type="dxa"/>
          </w:tcPr>
          <w:p w:rsidR="00C46E05" w:rsidRPr="006C3938" w:rsidRDefault="00C46E05" w:rsidP="000632DE">
            <w:pPr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6E05" w:rsidRPr="00553FA5" w:rsidRDefault="0054644E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3FA5">
              <w:rPr>
                <w:rFonts w:ascii="Times New Roman" w:hAnsi="Times New Roman"/>
                <w:b/>
                <w:lang w:val="ru-RU"/>
              </w:rPr>
              <w:t>50 942,4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E05" w:rsidRPr="00553FA5" w:rsidRDefault="00821694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3FA5">
              <w:rPr>
                <w:rFonts w:ascii="Times New Roman" w:hAnsi="Times New Roman"/>
                <w:b/>
                <w:lang w:val="ru-RU"/>
              </w:rPr>
              <w:t>45 979,5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6E05" w:rsidRPr="00553FA5" w:rsidRDefault="00821694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3FA5">
              <w:rPr>
                <w:rFonts w:ascii="Times New Roman" w:hAnsi="Times New Roman"/>
                <w:b/>
                <w:lang w:val="ru-RU"/>
              </w:rPr>
              <w:t>57 054,8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6E05" w:rsidRPr="00553FA5" w:rsidRDefault="00821694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3FA5">
              <w:rPr>
                <w:rFonts w:ascii="Times New Roman" w:hAnsi="Times New Roman"/>
                <w:b/>
                <w:lang w:val="ru-RU"/>
              </w:rPr>
              <w:t>+ 11 075,6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C46E05" w:rsidRPr="00553FA5" w:rsidRDefault="00553FA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3FA5">
              <w:rPr>
                <w:rFonts w:ascii="Times New Roman" w:hAnsi="Times New Roman"/>
                <w:b/>
                <w:lang w:val="ru-RU"/>
              </w:rPr>
              <w:t>+ 6 112,4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6C3938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6C3938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17 568,7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821694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20 203,0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821694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20 382,4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821694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+ 179,4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+ 2 813,7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4 596,7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5 188,1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5 678,1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+ 490,0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+ 1 081,4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+ 56,6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+ 67,6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Единый</w:t>
            </w:r>
            <w:r w:rsidRPr="006C3938">
              <w:rPr>
                <w:rFonts w:ascii="Times New Roman" w:hAnsi="Times New Roman"/>
              </w:rPr>
              <w:t xml:space="preserve"> </w:t>
            </w:r>
            <w:r w:rsidRPr="006C3938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+ 138,5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+ 138,4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317,2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+ 166,2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+ 81,1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553F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+ 10,2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+ 280,3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672,3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+ 66,3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- 217,4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1 681,1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2 170,0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2 211,5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+ 41,5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+ 530,4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1 308,4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643,1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- 189,9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- 665,3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+ 19,8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CC77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+ 65,5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3938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+ 128,0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+ 203,4</w:t>
            </w:r>
          </w:p>
        </w:tc>
      </w:tr>
      <w:tr w:rsidR="00CC6EBE" w:rsidRPr="006C3938" w:rsidTr="0054644E">
        <w:trPr>
          <w:trHeight w:val="288"/>
        </w:trPr>
        <w:tc>
          <w:tcPr>
            <w:tcW w:w="2836" w:type="dxa"/>
          </w:tcPr>
          <w:p w:rsidR="00CC6EBE" w:rsidRPr="006C3938" w:rsidRDefault="00CC6EBE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Задолженность прошлых лет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6EBE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EBE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6EBE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6EBE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CC6EBE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- 16,7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lastRenderedPageBreak/>
              <w:t>Доходы от использования муниципального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10 655,4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11 639,7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12 006,3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+ 366,6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+ 1 350,9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+ 21,3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- 278,6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 xml:space="preserve">Доходы от оказания платных услуг получателями средств бюджетов </w:t>
            </w:r>
            <w:r w:rsidR="00571BFE" w:rsidRPr="006C3938">
              <w:rPr>
                <w:rFonts w:ascii="Times New Roman" w:hAnsi="Times New Roman"/>
                <w:lang w:val="ru-RU"/>
              </w:rPr>
              <w:t>городских округов</w:t>
            </w:r>
            <w:r w:rsidRPr="006C3938">
              <w:rPr>
                <w:rFonts w:ascii="Times New Roman" w:hAnsi="Times New Roman"/>
                <w:lang w:val="ru-RU"/>
              </w:rPr>
              <w:t xml:space="preserve"> и компенсации затрат бюджетов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8 305,1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1 154,3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1 020,2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- 134,1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- 7 284,9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1 030,7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690,9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1 032,9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+ 342,0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+ 2,2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C3938">
              <w:rPr>
                <w:rFonts w:ascii="Times New Roman" w:hAnsi="Times New Roman"/>
              </w:rPr>
              <w:t>Штрафы</w:t>
            </w:r>
            <w:proofErr w:type="spellEnd"/>
            <w:r w:rsidRPr="006C3938">
              <w:rPr>
                <w:rFonts w:ascii="Times New Roman" w:hAnsi="Times New Roman"/>
              </w:rPr>
              <w:t xml:space="preserve">, </w:t>
            </w:r>
            <w:proofErr w:type="spellStart"/>
            <w:r w:rsidRPr="006C3938">
              <w:rPr>
                <w:rFonts w:ascii="Times New Roman" w:hAnsi="Times New Roman"/>
              </w:rPr>
              <w:t>санкции</w:t>
            </w:r>
            <w:proofErr w:type="spellEnd"/>
            <w:r w:rsidRPr="006C3938">
              <w:rPr>
                <w:rFonts w:ascii="Times New Roman" w:hAnsi="Times New Roman"/>
              </w:rPr>
              <w:t xml:space="preserve">, </w:t>
            </w:r>
            <w:proofErr w:type="spellStart"/>
            <w:r w:rsidRPr="006C3938">
              <w:rPr>
                <w:rFonts w:ascii="Times New Roman" w:hAnsi="Times New Roman"/>
              </w:rPr>
              <w:t>возмещение</w:t>
            </w:r>
            <w:proofErr w:type="spellEnd"/>
            <w:r w:rsidRPr="006C3938">
              <w:rPr>
                <w:rFonts w:ascii="Times New Roman" w:hAnsi="Times New Roman"/>
              </w:rPr>
              <w:t xml:space="preserve"> </w:t>
            </w:r>
            <w:proofErr w:type="spellStart"/>
            <w:r w:rsidRPr="006C3938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398A" w:rsidRPr="006C3938" w:rsidRDefault="00553FA5" w:rsidP="00B939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702,2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858,9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+ 156,7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+ 563,2</w:t>
            </w:r>
          </w:p>
        </w:tc>
      </w:tr>
      <w:tr w:rsidR="000C3BD6" w:rsidRPr="006C3938" w:rsidTr="0054644E">
        <w:trPr>
          <w:trHeight w:val="288"/>
        </w:trPr>
        <w:tc>
          <w:tcPr>
            <w:tcW w:w="2836" w:type="dxa"/>
          </w:tcPr>
          <w:p w:rsidR="000C3BD6" w:rsidRPr="006C3938" w:rsidRDefault="000C3BD6" w:rsidP="0054644E">
            <w:pPr>
              <w:jc w:val="both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6C3938" w:rsidRDefault="0054644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2 816,1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996,8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10 213,3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2C45" w:rsidRPr="006C3938" w:rsidRDefault="00553FA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+ 9 216,5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6C3938" w:rsidRDefault="00185B7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+ 7 397,2</w:t>
            </w:r>
          </w:p>
        </w:tc>
      </w:tr>
    </w:tbl>
    <w:p w:rsidR="00C46E05" w:rsidRPr="006C3938" w:rsidRDefault="00C46E05" w:rsidP="00A25829">
      <w:pPr>
        <w:jc w:val="right"/>
        <w:rPr>
          <w:rFonts w:ascii="Times New Roman" w:hAnsi="Times New Roman"/>
          <w:lang w:val="ru-RU"/>
        </w:rPr>
      </w:pPr>
    </w:p>
    <w:p w:rsidR="00C91F89" w:rsidRPr="006C3938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6C3938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5766BA"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0588E" w:rsidRPr="006C3938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185B75">
        <w:rPr>
          <w:rFonts w:ascii="Times New Roman" w:hAnsi="Times New Roman"/>
          <w:sz w:val="25"/>
          <w:szCs w:val="25"/>
          <w:lang w:val="ru-RU"/>
        </w:rPr>
        <w:t>2</w:t>
      </w:r>
      <w:r w:rsidR="00F0588E" w:rsidRPr="006C3938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6C3938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6C3938">
        <w:rPr>
          <w:rFonts w:ascii="Times New Roman" w:hAnsi="Times New Roman"/>
          <w:sz w:val="25"/>
          <w:szCs w:val="25"/>
          <w:lang w:val="ru-RU"/>
        </w:rPr>
        <w:t>е</w:t>
      </w:r>
      <w:r w:rsidR="00067B69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6A63" w:rsidRPr="006C3938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6C3938">
        <w:rPr>
          <w:rFonts w:ascii="Times New Roman" w:hAnsi="Times New Roman"/>
          <w:sz w:val="25"/>
          <w:szCs w:val="25"/>
          <w:lang w:val="ru-RU"/>
        </w:rPr>
        <w:t>ы</w:t>
      </w:r>
      <w:r w:rsidR="005766BA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185B75">
        <w:rPr>
          <w:rFonts w:ascii="Times New Roman" w:hAnsi="Times New Roman"/>
          <w:sz w:val="25"/>
          <w:szCs w:val="25"/>
          <w:lang w:val="ru-RU"/>
        </w:rPr>
        <w:t>57 054,8</w:t>
      </w:r>
      <w:r w:rsidR="003518C9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185B75">
        <w:rPr>
          <w:rFonts w:ascii="Times New Roman" w:hAnsi="Times New Roman"/>
          <w:sz w:val="25"/>
          <w:szCs w:val="25"/>
          <w:lang w:val="ru-RU"/>
        </w:rPr>
        <w:t>при плановых назначениях 45 979,5 тыс. руб.</w:t>
      </w:r>
      <w:r w:rsidR="00A57BA4" w:rsidRPr="006C3938">
        <w:rPr>
          <w:rFonts w:ascii="Times New Roman" w:hAnsi="Times New Roman"/>
          <w:sz w:val="25"/>
          <w:szCs w:val="25"/>
          <w:lang w:val="ru-RU"/>
        </w:rPr>
        <w:t xml:space="preserve">  (</w:t>
      </w:r>
      <w:r w:rsidR="00185B75">
        <w:rPr>
          <w:rFonts w:ascii="Times New Roman" w:hAnsi="Times New Roman"/>
          <w:sz w:val="25"/>
          <w:szCs w:val="25"/>
          <w:lang w:val="ru-RU"/>
        </w:rPr>
        <w:t xml:space="preserve">124,1 </w:t>
      </w:r>
      <w:r w:rsidR="00A277B6" w:rsidRPr="006C3938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6C3938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6C3938">
        <w:rPr>
          <w:rFonts w:ascii="Times New Roman" w:hAnsi="Times New Roman"/>
          <w:sz w:val="25"/>
          <w:szCs w:val="25"/>
          <w:lang w:val="ru-RU"/>
        </w:rPr>
        <w:t xml:space="preserve"> 1 квартала 20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185B75">
        <w:rPr>
          <w:rFonts w:ascii="Times New Roman" w:hAnsi="Times New Roman"/>
          <w:sz w:val="25"/>
          <w:szCs w:val="25"/>
          <w:lang w:val="ru-RU"/>
        </w:rPr>
        <w:t>2</w:t>
      </w:r>
      <w:r w:rsidR="00340BD3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2460" w:rsidRPr="006C3938">
        <w:rPr>
          <w:rFonts w:ascii="Times New Roman" w:hAnsi="Times New Roman"/>
          <w:sz w:val="25"/>
          <w:szCs w:val="25"/>
          <w:lang w:val="ru-RU"/>
        </w:rPr>
        <w:t>года</w:t>
      </w:r>
      <w:r w:rsidR="00A57BA4" w:rsidRPr="006C3938">
        <w:rPr>
          <w:rFonts w:ascii="Times New Roman" w:hAnsi="Times New Roman"/>
          <w:sz w:val="25"/>
          <w:szCs w:val="25"/>
          <w:lang w:val="ru-RU"/>
        </w:rPr>
        <w:t>)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 xml:space="preserve">, сверх плана поступило </w:t>
      </w:r>
      <w:r w:rsidR="00FD243A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85B75">
        <w:rPr>
          <w:rFonts w:ascii="Times New Roman" w:hAnsi="Times New Roman"/>
          <w:sz w:val="25"/>
          <w:szCs w:val="25"/>
          <w:lang w:val="ru-RU"/>
        </w:rPr>
        <w:t xml:space="preserve">11 075,6 </w:t>
      </w:r>
      <w:r w:rsidR="00925BF4" w:rsidRPr="006C3938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EE41B2" w:rsidRPr="006C3938">
        <w:rPr>
          <w:rFonts w:ascii="Times New Roman" w:hAnsi="Times New Roman"/>
          <w:sz w:val="25"/>
          <w:szCs w:val="25"/>
          <w:lang w:val="ru-RU"/>
        </w:rPr>
        <w:t>ыс. руб.</w:t>
      </w:r>
      <w:r w:rsidR="00427AF9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C4DD0" w:rsidRDefault="005C4DD0" w:rsidP="005C4DD0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021882" w:rsidRPr="00021882" w:rsidRDefault="00021882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i/>
          <w:sz w:val="25"/>
          <w:szCs w:val="25"/>
          <w:lang w:val="ru-RU"/>
        </w:rPr>
        <w:t>прочие н</w:t>
      </w:r>
      <w:r w:rsidRPr="00021882">
        <w:rPr>
          <w:rFonts w:ascii="Times New Roman" w:hAnsi="Times New Roman"/>
          <w:i/>
          <w:sz w:val="25"/>
          <w:szCs w:val="25"/>
          <w:lang w:val="ru-RU"/>
        </w:rPr>
        <w:t>еналоговые доходы</w:t>
      </w:r>
      <w:r>
        <w:rPr>
          <w:rFonts w:ascii="Times New Roman" w:hAnsi="Times New Roman"/>
          <w:i/>
          <w:sz w:val="25"/>
          <w:szCs w:val="25"/>
          <w:lang w:val="ru-RU"/>
        </w:rPr>
        <w:t xml:space="preserve"> (+ 9 216,5 тыс. руб. или 1 024,6 % к плановым назначениям) – средства от ООО «Лукойл-Пермь» за убытки сельскохозяйственного производства и за биологическую рекультивацию;</w:t>
      </w:r>
    </w:p>
    <w:p w:rsidR="005C4DD0" w:rsidRDefault="005C4DD0" w:rsidP="00556A46">
      <w:pPr>
        <w:ind w:firstLine="708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proofErr w:type="gramStart"/>
      <w:r w:rsidRPr="006C3938">
        <w:rPr>
          <w:rFonts w:ascii="Times New Roman" w:hAnsi="Times New Roman"/>
          <w:i/>
          <w:sz w:val="25"/>
          <w:szCs w:val="25"/>
          <w:lang w:val="ru-RU"/>
        </w:rPr>
        <w:t>акциз</w:t>
      </w:r>
      <w:r w:rsidR="00556A46" w:rsidRPr="006C3938">
        <w:rPr>
          <w:rFonts w:ascii="Times New Roman" w:hAnsi="Times New Roman"/>
          <w:i/>
          <w:sz w:val="25"/>
          <w:szCs w:val="25"/>
          <w:lang w:val="ru-RU"/>
        </w:rPr>
        <w:t>ы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 (</w:t>
      </w:r>
      <w:r w:rsidR="00556A46" w:rsidRPr="006C3938">
        <w:rPr>
          <w:rFonts w:ascii="Times New Roman" w:hAnsi="Times New Roman"/>
          <w:i/>
          <w:sz w:val="25"/>
          <w:szCs w:val="25"/>
          <w:lang w:val="ru-RU"/>
        </w:rPr>
        <w:t>+</w:t>
      </w:r>
      <w:r w:rsidR="00021882">
        <w:rPr>
          <w:rFonts w:ascii="Times New Roman" w:hAnsi="Times New Roman"/>
          <w:i/>
          <w:sz w:val="25"/>
          <w:szCs w:val="25"/>
          <w:lang w:val="ru-RU"/>
        </w:rPr>
        <w:t>490,0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1115D2" w:rsidRPr="006C3938">
        <w:rPr>
          <w:rFonts w:ascii="Times New Roman" w:hAnsi="Times New Roman"/>
          <w:i/>
          <w:sz w:val="25"/>
          <w:szCs w:val="25"/>
          <w:lang w:val="ru-RU"/>
        </w:rPr>
        <w:t xml:space="preserve"> или </w:t>
      </w:r>
      <w:r w:rsidR="00021882">
        <w:rPr>
          <w:rFonts w:ascii="Times New Roman" w:hAnsi="Times New Roman"/>
          <w:i/>
          <w:sz w:val="25"/>
          <w:szCs w:val="25"/>
          <w:lang w:val="ru-RU"/>
        </w:rPr>
        <w:t>109,4%</w:t>
      </w:r>
      <w:r w:rsidR="001115D2" w:rsidRPr="006C3938">
        <w:rPr>
          <w:rFonts w:ascii="Times New Roman" w:hAnsi="Times New Roman"/>
          <w:i/>
          <w:sz w:val="25"/>
          <w:szCs w:val="25"/>
          <w:lang w:val="ru-RU"/>
        </w:rPr>
        <w:t xml:space="preserve"> к квартальному плану)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 – 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инжекторных</w:t>
      </w:r>
      <w:proofErr w:type="spellEnd"/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) двигателей, производимые на территории Российской Федерации, </w:t>
      </w:r>
      <w:r w:rsidRPr="006C3938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являются налоговыми доходами федерального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r w:rsidRPr="006C3938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и налоговыми доходами </w:t>
      </w:r>
      <w:r w:rsidRPr="006C3938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 субъектов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Российской Федерации</w:t>
      </w:r>
      <w:r w:rsidRPr="006C3938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2"/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 бюджет городского округа  акцизы зачисляются как часть  собственных средств краевого бюджета от указанного налога по дифференцированным</w:t>
      </w:r>
      <w:proofErr w:type="gramEnd"/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нормативам, устанавливаемым законом о бюджете Пермского края</w:t>
      </w:r>
      <w:r w:rsidRPr="006C3938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3"/>
      </w:r>
      <w:r w:rsidR="001143D4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202</w:t>
      </w:r>
      <w:r w:rsidR="00021882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2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году в бюджет Октябрьского городского округа </w:t>
      </w:r>
      <w:r w:rsidR="00160D9C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поступает налога по нормативу 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0,26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3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7%</w:t>
      </w:r>
      <w:r w:rsidR="001143D4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(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Закон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Пермского края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№ 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15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-ПК от 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10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.12.202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1</w:t>
      </w:r>
      <w:r w:rsidR="001143D4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r w:rsidR="00502442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г.)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Формирование плановых поступлений акцизов в бюджет Октябрьского городского округа  в 1 квартале 202</w:t>
      </w:r>
      <w:r w:rsidR="00021882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2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года и в 202</w:t>
      </w:r>
      <w:r w:rsidR="00021882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2</w:t>
      </w:r>
      <w:r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году в целом осуществлялось с учетом всех указанных выше положений, а так же с учетом ставок акцизов,  установленных ст. 193 Налогового кодекса Российской Федерации.</w:t>
      </w:r>
      <w:r w:rsidR="00160D9C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Перевыполнение плана поступлений </w:t>
      </w:r>
      <w:r w:rsidR="001143D4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данного налога</w:t>
      </w:r>
      <w:r w:rsidR="00160D9C" w:rsidRPr="006C3938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в отчетном периоде обусловлено увеличением облагаемой базы в сра</w:t>
      </w:r>
      <w:r w:rsidR="00C93E20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внении с планом;</w:t>
      </w:r>
    </w:p>
    <w:p w:rsidR="00C93E20" w:rsidRPr="006C3938" w:rsidRDefault="00C93E20" w:rsidP="00556A46">
      <w:pPr>
        <w:ind w:firstLine="708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доходы от использования муниципального  имущества (+366,6 тыс. руб. или 103,1% к плановым назначениям) – доходы, получаемые в виде арендной либо иной платы за передачу в возмездное пользование муниципального </w:t>
      </w:r>
      <w:proofErr w:type="spellStart"/>
      <w:r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имущнества</w:t>
      </w:r>
      <w:proofErr w:type="spellEnd"/>
      <w:r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;</w:t>
      </w:r>
    </w:p>
    <w:p w:rsidR="005C4DD0" w:rsidRPr="006C3938" w:rsidRDefault="005C4DD0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C3938">
        <w:rPr>
          <w:rFonts w:ascii="Times New Roman" w:hAnsi="Times New Roman"/>
          <w:i/>
          <w:sz w:val="25"/>
          <w:szCs w:val="25"/>
          <w:lang w:val="ru-RU"/>
        </w:rPr>
        <w:lastRenderedPageBreak/>
        <w:t>штраф</w:t>
      </w:r>
      <w:r w:rsidR="001143D4" w:rsidRPr="006C3938">
        <w:rPr>
          <w:rFonts w:ascii="Times New Roman" w:hAnsi="Times New Roman"/>
          <w:i/>
          <w:sz w:val="25"/>
          <w:szCs w:val="25"/>
          <w:lang w:val="ru-RU"/>
        </w:rPr>
        <w:t>ы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>, санкци</w:t>
      </w:r>
      <w:r w:rsidR="00E5009C" w:rsidRPr="006C3938">
        <w:rPr>
          <w:rFonts w:ascii="Times New Roman" w:hAnsi="Times New Roman"/>
          <w:i/>
          <w:sz w:val="25"/>
          <w:szCs w:val="25"/>
          <w:lang w:val="ru-RU"/>
        </w:rPr>
        <w:t>и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>, возмещени</w:t>
      </w:r>
      <w:r w:rsidR="001143D4" w:rsidRPr="006C3938">
        <w:rPr>
          <w:rFonts w:ascii="Times New Roman" w:hAnsi="Times New Roman"/>
          <w:i/>
          <w:sz w:val="25"/>
          <w:szCs w:val="25"/>
          <w:lang w:val="ru-RU"/>
        </w:rPr>
        <w:t>е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 ущерба (</w:t>
      </w:r>
      <w:r w:rsidR="001143D4" w:rsidRPr="006C3938">
        <w:rPr>
          <w:rFonts w:ascii="Times New Roman" w:hAnsi="Times New Roman"/>
          <w:i/>
          <w:sz w:val="25"/>
          <w:szCs w:val="25"/>
          <w:lang w:val="ru-RU"/>
        </w:rPr>
        <w:t>+1</w:t>
      </w:r>
      <w:r w:rsidR="00C93E20">
        <w:rPr>
          <w:rFonts w:ascii="Times New Roman" w:hAnsi="Times New Roman"/>
          <w:i/>
          <w:sz w:val="25"/>
          <w:szCs w:val="25"/>
          <w:lang w:val="ru-RU"/>
        </w:rPr>
        <w:t>5</w:t>
      </w:r>
      <w:r w:rsidR="001143D4" w:rsidRPr="006C3938">
        <w:rPr>
          <w:rFonts w:ascii="Times New Roman" w:hAnsi="Times New Roman"/>
          <w:i/>
          <w:sz w:val="25"/>
          <w:szCs w:val="25"/>
          <w:lang w:val="ru-RU"/>
        </w:rPr>
        <w:t>6,7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6C3938">
        <w:rPr>
          <w:rFonts w:ascii="Times New Roman" w:hAnsi="Times New Roman"/>
          <w:i/>
          <w:sz w:val="25"/>
          <w:szCs w:val="25"/>
          <w:lang w:val="ru-RU"/>
        </w:rPr>
        <w:t xml:space="preserve"> или </w:t>
      </w:r>
      <w:r w:rsidR="00C93E20">
        <w:rPr>
          <w:rFonts w:ascii="Times New Roman" w:hAnsi="Times New Roman"/>
          <w:i/>
          <w:sz w:val="25"/>
          <w:szCs w:val="25"/>
          <w:lang w:val="ru-RU"/>
        </w:rPr>
        <w:t xml:space="preserve">122,3 </w:t>
      </w:r>
      <w:r w:rsidR="00E5009C" w:rsidRPr="006C3938">
        <w:rPr>
          <w:rFonts w:ascii="Times New Roman" w:hAnsi="Times New Roman"/>
          <w:i/>
          <w:sz w:val="25"/>
          <w:szCs w:val="25"/>
          <w:lang w:val="ru-RU"/>
        </w:rPr>
        <w:t>% к плану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>)</w:t>
      </w:r>
      <w:r w:rsidR="001143D4" w:rsidRPr="006C3938">
        <w:rPr>
          <w:rFonts w:ascii="Times New Roman" w:hAnsi="Times New Roman"/>
          <w:i/>
          <w:sz w:val="25"/>
          <w:szCs w:val="25"/>
          <w:lang w:val="ru-RU"/>
        </w:rPr>
        <w:t xml:space="preserve"> -  </w:t>
      </w:r>
      <w:r w:rsidR="00EF78F6" w:rsidRPr="006C3938">
        <w:rPr>
          <w:rFonts w:ascii="Times New Roman" w:hAnsi="Times New Roman"/>
          <w:i/>
          <w:sz w:val="25"/>
          <w:szCs w:val="25"/>
          <w:lang w:val="ru-RU"/>
        </w:rPr>
        <w:t xml:space="preserve">поступили незапланированные штрафы за административные правонарушения  в области предпринимательской деятельности, в области финансов, налогов и сборов, в сфере общественного порядка и общественной безопасности, в других сферах, а так же </w:t>
      </w:r>
      <w:r w:rsidR="00B800C3" w:rsidRPr="006C3938">
        <w:rPr>
          <w:rFonts w:ascii="Times New Roman" w:hAnsi="Times New Roman"/>
          <w:i/>
          <w:sz w:val="25"/>
          <w:szCs w:val="25"/>
          <w:lang w:val="ru-RU"/>
        </w:rPr>
        <w:t>возмещен незапланирова</w:t>
      </w:r>
      <w:r w:rsidR="00E5009C" w:rsidRPr="006C3938">
        <w:rPr>
          <w:rFonts w:ascii="Times New Roman" w:hAnsi="Times New Roman"/>
          <w:i/>
          <w:sz w:val="25"/>
          <w:szCs w:val="25"/>
          <w:lang w:val="ru-RU"/>
        </w:rPr>
        <w:t>нный ущерб, причиненный муниципальному имуществу городского округа.</w:t>
      </w:r>
    </w:p>
    <w:p w:rsidR="00A57BA4" w:rsidRPr="006C3938" w:rsidRDefault="00FC2289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ab/>
      </w:r>
      <w:r w:rsidR="005064F3" w:rsidRPr="006C3938">
        <w:rPr>
          <w:rFonts w:ascii="Times New Roman" w:hAnsi="Times New Roman"/>
          <w:sz w:val="25"/>
          <w:szCs w:val="25"/>
          <w:lang w:val="ru-RU"/>
        </w:rPr>
        <w:t xml:space="preserve">По другим видам собственных доходов </w:t>
      </w:r>
      <w:r w:rsidR="00CC00B9" w:rsidRPr="006C3938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ED7FC0" w:rsidRPr="006C3938">
        <w:rPr>
          <w:rFonts w:ascii="Times New Roman" w:hAnsi="Times New Roman"/>
          <w:sz w:val="25"/>
          <w:szCs w:val="25"/>
          <w:lang w:val="ru-RU"/>
        </w:rPr>
        <w:t xml:space="preserve"> в финансовом выражении </w:t>
      </w:r>
      <w:r w:rsidR="000675E6" w:rsidRPr="006C3938">
        <w:rPr>
          <w:rFonts w:ascii="Times New Roman" w:hAnsi="Times New Roman"/>
          <w:sz w:val="25"/>
          <w:szCs w:val="25"/>
          <w:lang w:val="ru-RU"/>
        </w:rPr>
        <w:t>составили</w:t>
      </w:r>
      <w:r w:rsidR="00ED7FC0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6C3938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675E6" w:rsidRPr="006C3938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6C3938">
        <w:rPr>
          <w:rFonts w:ascii="Times New Roman" w:hAnsi="Times New Roman"/>
          <w:sz w:val="25"/>
          <w:szCs w:val="25"/>
          <w:lang w:val="ru-RU"/>
        </w:rPr>
        <w:t>с незначительными откл</w:t>
      </w:r>
      <w:r w:rsidR="00162FFE" w:rsidRPr="006C3938">
        <w:rPr>
          <w:rFonts w:ascii="Times New Roman" w:hAnsi="Times New Roman"/>
          <w:sz w:val="25"/>
          <w:szCs w:val="25"/>
          <w:lang w:val="ru-RU"/>
        </w:rPr>
        <w:t>онениями от плановых назначений (см. таб. выше).</w:t>
      </w:r>
      <w:r w:rsidR="00CC00B9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FBA" w:rsidRPr="00611FB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6C3938">
        <w:rPr>
          <w:rFonts w:ascii="Times New Roman" w:hAnsi="Times New Roman"/>
          <w:sz w:val="25"/>
          <w:szCs w:val="25"/>
          <w:lang w:val="ru-RU" w:eastAsia="ru-RU"/>
        </w:rPr>
        <w:t>В сравнении с поступлениями 1 квартала 20</w:t>
      </w:r>
      <w:r w:rsidR="00C82CE3" w:rsidRPr="006C3938">
        <w:rPr>
          <w:rFonts w:ascii="Times New Roman" w:hAnsi="Times New Roman"/>
          <w:sz w:val="25"/>
          <w:szCs w:val="25"/>
          <w:lang w:val="ru-RU" w:eastAsia="ru-RU"/>
        </w:rPr>
        <w:t>2</w:t>
      </w:r>
      <w:r w:rsidR="00C93E20">
        <w:rPr>
          <w:rFonts w:ascii="Times New Roman" w:hAnsi="Times New Roman"/>
          <w:sz w:val="25"/>
          <w:szCs w:val="25"/>
          <w:lang w:val="ru-RU" w:eastAsia="ru-RU"/>
        </w:rPr>
        <w:t>1</w:t>
      </w:r>
      <w:r w:rsidRPr="006C3938">
        <w:rPr>
          <w:rFonts w:ascii="Times New Roman" w:hAnsi="Times New Roman"/>
          <w:sz w:val="25"/>
          <w:szCs w:val="25"/>
          <w:lang w:val="ru-RU" w:eastAsia="ru-RU"/>
        </w:rPr>
        <w:t xml:space="preserve"> года поступления отчетного периода в целом возросли на </w:t>
      </w:r>
      <w:r w:rsidR="00C93E20">
        <w:rPr>
          <w:rFonts w:ascii="Times New Roman" w:hAnsi="Times New Roman"/>
          <w:sz w:val="25"/>
          <w:szCs w:val="25"/>
          <w:lang w:val="ru-RU" w:eastAsia="ru-RU"/>
        </w:rPr>
        <w:t>6 112,4</w:t>
      </w:r>
      <w:r w:rsidRPr="006C3938">
        <w:rPr>
          <w:rFonts w:ascii="Times New Roman" w:hAnsi="Times New Roman"/>
          <w:sz w:val="25"/>
          <w:szCs w:val="25"/>
          <w:lang w:val="ru-RU" w:eastAsia="ru-RU"/>
        </w:rPr>
        <w:t xml:space="preserve"> тыс. руб. (таб. выше).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 xml:space="preserve">  </w:t>
      </w:r>
    </w:p>
    <w:p w:rsidR="00DC2AF1" w:rsidRPr="00611FB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611FBA">
        <w:rPr>
          <w:rFonts w:ascii="Times New Roman" w:hAnsi="Times New Roman"/>
          <w:sz w:val="25"/>
          <w:szCs w:val="25"/>
          <w:lang w:val="ru-RU" w:eastAsia="ru-RU"/>
        </w:rPr>
        <w:t>Максимальный прирост поступлений произошел по</w:t>
      </w:r>
      <w:r w:rsidR="00730009">
        <w:rPr>
          <w:rFonts w:ascii="Times New Roman" w:hAnsi="Times New Roman"/>
          <w:sz w:val="25"/>
          <w:szCs w:val="25"/>
          <w:lang w:val="ru-RU" w:eastAsia="ru-RU"/>
        </w:rPr>
        <w:t xml:space="preserve"> следующим доходам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730009" w:rsidRDefault="00730009" w:rsidP="008538A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-прочие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 xml:space="preserve"> неналоговы</w:t>
      </w:r>
      <w:r>
        <w:rPr>
          <w:rFonts w:ascii="Times New Roman" w:hAnsi="Times New Roman"/>
          <w:sz w:val="25"/>
          <w:szCs w:val="25"/>
          <w:lang w:val="ru-RU" w:eastAsia="ru-RU"/>
        </w:rPr>
        <w:t>е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 xml:space="preserve"> доход</w:t>
      </w:r>
      <w:r>
        <w:rPr>
          <w:rFonts w:ascii="Times New Roman" w:hAnsi="Times New Roman"/>
          <w:sz w:val="25"/>
          <w:szCs w:val="25"/>
          <w:lang w:val="ru-RU" w:eastAsia="ru-RU"/>
        </w:rPr>
        <w:t>ы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 xml:space="preserve"> (+ </w:t>
      </w:r>
      <w:r>
        <w:rPr>
          <w:rFonts w:ascii="Times New Roman" w:hAnsi="Times New Roman"/>
          <w:sz w:val="25"/>
          <w:szCs w:val="25"/>
          <w:lang w:val="ru-RU" w:eastAsia="ru-RU"/>
        </w:rPr>
        <w:t>7 397,2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="009B07BE" w:rsidRPr="00611FBA">
        <w:rPr>
          <w:rFonts w:ascii="Times New Roman" w:hAnsi="Times New Roman"/>
          <w:sz w:val="25"/>
          <w:szCs w:val="25"/>
          <w:lang w:val="ru-RU" w:eastAsia="ru-RU"/>
        </w:rPr>
        <w:t xml:space="preserve"> - </w:t>
      </w:r>
      <w:r w:rsidR="009B42DD" w:rsidRPr="00611FB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0F386C" w:rsidRPr="008538A4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поступили средства от ООО «Лукойл-Пермь»  в качестве возмещения убытков, связанных с </w:t>
      </w:r>
      <w:r w:rsidR="008538A4" w:rsidRPr="008538A4">
        <w:rPr>
          <w:rFonts w:ascii="Times New Roman" w:hAnsi="Times New Roman"/>
          <w:i/>
          <w:sz w:val="25"/>
          <w:szCs w:val="25"/>
          <w:lang w:val="ru-RU" w:eastAsia="ru-RU"/>
        </w:rPr>
        <w:t>занятием земель сельскохозяйственного назначения</w:t>
      </w:r>
      <w:r>
        <w:rPr>
          <w:rFonts w:ascii="Times New Roman" w:hAnsi="Times New Roman"/>
          <w:i/>
          <w:sz w:val="25"/>
          <w:szCs w:val="25"/>
          <w:lang w:val="ru-RU" w:eastAsia="ru-RU"/>
        </w:rPr>
        <w:t>;</w:t>
      </w:r>
    </w:p>
    <w:p w:rsidR="00730009" w:rsidRPr="00730009" w:rsidRDefault="00730009" w:rsidP="008538A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 xml:space="preserve">- налог на доходы физических лиц </w:t>
      </w:r>
      <w:proofErr w:type="gramStart"/>
      <w:r>
        <w:rPr>
          <w:rFonts w:ascii="Times New Roman" w:hAnsi="Times New Roman"/>
          <w:sz w:val="25"/>
          <w:szCs w:val="25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5"/>
          <w:szCs w:val="25"/>
          <w:lang w:val="ru-RU" w:eastAsia="ru-RU"/>
        </w:rPr>
        <w:t xml:space="preserve">+ 2 813,7 тыс. руб.) – </w:t>
      </w:r>
      <w:r>
        <w:rPr>
          <w:rFonts w:ascii="Times New Roman" w:hAnsi="Times New Roman"/>
          <w:i/>
          <w:sz w:val="25"/>
          <w:szCs w:val="25"/>
          <w:lang w:val="ru-RU" w:eastAsia="ru-RU"/>
        </w:rPr>
        <w:t xml:space="preserve">за счет увеличения поступлений в отчетном периоде от ООО «Газпром </w:t>
      </w:r>
      <w:proofErr w:type="spellStart"/>
      <w:r>
        <w:rPr>
          <w:rFonts w:ascii="Times New Roman" w:hAnsi="Times New Roman"/>
          <w:i/>
          <w:sz w:val="25"/>
          <w:szCs w:val="25"/>
          <w:lang w:val="ru-RU" w:eastAsia="ru-RU"/>
        </w:rPr>
        <w:t>трангаз</w:t>
      </w:r>
      <w:proofErr w:type="spellEnd"/>
      <w:r>
        <w:rPr>
          <w:rFonts w:ascii="Times New Roman" w:hAnsi="Times New Roman"/>
          <w:i/>
          <w:sz w:val="25"/>
          <w:szCs w:val="25"/>
          <w:lang w:val="ru-RU" w:eastAsia="ru-RU"/>
        </w:rPr>
        <w:t xml:space="preserve"> Чайковский», ООО «Лукойл Пермь», ГБУЗ «Октябрьская ЦРБ» и др.;</w:t>
      </w:r>
    </w:p>
    <w:p w:rsidR="007C6FA2" w:rsidRPr="00611FBA" w:rsidRDefault="00730009" w:rsidP="008538A4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-доходы, получаемые в виде арендной платы за земельные участки, государственная собственность на которые не разграничена (+ 1 439,3 тыс. руб.);</w:t>
      </w:r>
      <w:r w:rsidR="007C6FA2" w:rsidRPr="00611FB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</w:p>
    <w:p w:rsidR="00730009" w:rsidRDefault="00B558F7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611FBA">
        <w:rPr>
          <w:rFonts w:ascii="Times New Roman" w:hAnsi="Times New Roman"/>
          <w:sz w:val="25"/>
          <w:szCs w:val="25"/>
          <w:lang w:val="ru-RU" w:eastAsia="ru-RU"/>
        </w:rPr>
        <w:t>-акцизов (+</w:t>
      </w:r>
      <w:r w:rsidR="00730009">
        <w:rPr>
          <w:rFonts w:ascii="Times New Roman" w:hAnsi="Times New Roman"/>
          <w:sz w:val="25"/>
          <w:szCs w:val="25"/>
          <w:lang w:val="ru-RU" w:eastAsia="ru-RU"/>
        </w:rPr>
        <w:t xml:space="preserve">1 081,4 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>тыс. руб.)</w:t>
      </w:r>
      <w:r w:rsidR="003D21B6">
        <w:rPr>
          <w:rFonts w:ascii="Times New Roman" w:hAnsi="Times New Roman"/>
          <w:sz w:val="25"/>
          <w:szCs w:val="25"/>
          <w:lang w:val="ru-RU" w:eastAsia="ru-RU"/>
        </w:rPr>
        <w:t xml:space="preserve"> -  </w:t>
      </w:r>
      <w:r w:rsidR="003D21B6" w:rsidRPr="003D21B6">
        <w:rPr>
          <w:rFonts w:ascii="Times New Roman" w:hAnsi="Times New Roman"/>
          <w:i/>
          <w:sz w:val="25"/>
          <w:szCs w:val="25"/>
          <w:lang w:val="ru-RU" w:eastAsia="ru-RU"/>
        </w:rPr>
        <w:t xml:space="preserve">за счет увеличения </w:t>
      </w:r>
      <w:r w:rsidR="003D21B6">
        <w:rPr>
          <w:rFonts w:ascii="Times New Roman" w:hAnsi="Times New Roman"/>
          <w:i/>
          <w:sz w:val="25"/>
          <w:szCs w:val="25"/>
          <w:lang w:val="ru-RU" w:eastAsia="ru-RU"/>
        </w:rPr>
        <w:t>налого</w:t>
      </w:r>
      <w:r w:rsidR="00730009">
        <w:rPr>
          <w:rFonts w:ascii="Times New Roman" w:hAnsi="Times New Roman"/>
          <w:i/>
          <w:sz w:val="25"/>
          <w:szCs w:val="25"/>
          <w:lang w:val="ru-RU" w:eastAsia="ru-RU"/>
        </w:rPr>
        <w:t>облагаемой базы;</w:t>
      </w:r>
    </w:p>
    <w:p w:rsidR="00B558F7" w:rsidRPr="003D21B6" w:rsidRDefault="00730009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 xml:space="preserve">- </w:t>
      </w:r>
      <w:r w:rsidR="00EA332A">
        <w:rPr>
          <w:rFonts w:ascii="Times New Roman" w:hAnsi="Times New Roman"/>
          <w:sz w:val="25"/>
          <w:szCs w:val="25"/>
          <w:lang w:val="ru-RU" w:eastAsia="ru-RU"/>
        </w:rPr>
        <w:t xml:space="preserve">штрафы, санкции, возмещение ущерба </w:t>
      </w:r>
      <w:r>
        <w:rPr>
          <w:rFonts w:ascii="Times New Roman" w:hAnsi="Times New Roman"/>
          <w:sz w:val="25"/>
          <w:szCs w:val="25"/>
          <w:lang w:val="ru-RU" w:eastAsia="ru-RU"/>
        </w:rPr>
        <w:t xml:space="preserve"> (+</w:t>
      </w:r>
      <w:r w:rsidR="00EA332A">
        <w:rPr>
          <w:rFonts w:ascii="Times New Roman" w:hAnsi="Times New Roman"/>
          <w:sz w:val="25"/>
          <w:szCs w:val="25"/>
          <w:lang w:val="ru-RU" w:eastAsia="ru-RU"/>
        </w:rPr>
        <w:t xml:space="preserve"> 563,2 тыс. руб.)</w:t>
      </w:r>
      <w:r w:rsidR="003D21B6" w:rsidRPr="003D21B6">
        <w:rPr>
          <w:rFonts w:ascii="Times New Roman" w:hAnsi="Times New Roman"/>
          <w:i/>
          <w:sz w:val="25"/>
          <w:szCs w:val="25"/>
          <w:lang w:val="ru-RU" w:eastAsia="ru-RU"/>
        </w:rPr>
        <w:t>.</w:t>
      </w:r>
    </w:p>
    <w:p w:rsidR="00381FDC" w:rsidRDefault="00DC2AF1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611FBA">
        <w:rPr>
          <w:rFonts w:ascii="Times New Roman" w:hAnsi="Times New Roman"/>
          <w:sz w:val="25"/>
          <w:szCs w:val="25"/>
          <w:lang w:val="ru-RU" w:eastAsia="ru-RU"/>
        </w:rPr>
        <w:t>Одновременно сократились в сравнении с аналогичн</w:t>
      </w:r>
      <w:r w:rsidR="00381FDC">
        <w:rPr>
          <w:rFonts w:ascii="Times New Roman" w:hAnsi="Times New Roman"/>
          <w:sz w:val="25"/>
          <w:szCs w:val="25"/>
          <w:lang w:val="ru-RU" w:eastAsia="ru-RU"/>
        </w:rPr>
        <w:t>ым периодом предшествующего 2021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 xml:space="preserve"> года </w:t>
      </w:r>
      <w:r w:rsidR="00661B1F" w:rsidRPr="00611FBA">
        <w:rPr>
          <w:rFonts w:ascii="Times New Roman" w:hAnsi="Times New Roman"/>
          <w:sz w:val="25"/>
          <w:szCs w:val="25"/>
          <w:lang w:val="ru-RU" w:eastAsia="ru-RU"/>
        </w:rPr>
        <w:t>поступления т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>аких доход</w:t>
      </w:r>
      <w:r w:rsidR="00661B1F" w:rsidRPr="00611FBA">
        <w:rPr>
          <w:rFonts w:ascii="Times New Roman" w:hAnsi="Times New Roman"/>
          <w:sz w:val="25"/>
          <w:szCs w:val="25"/>
          <w:lang w:val="ru-RU" w:eastAsia="ru-RU"/>
        </w:rPr>
        <w:t>ов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 xml:space="preserve"> как</w:t>
      </w:r>
      <w:r w:rsidR="0094111B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381FDC" w:rsidRDefault="00381FDC" w:rsidP="00381FDC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 xml:space="preserve">прочие доходы от компенсации затрат бюджетов городских округов </w:t>
      </w:r>
      <w:proofErr w:type="gramStart"/>
      <w:r>
        <w:rPr>
          <w:rFonts w:ascii="Times New Roman" w:hAnsi="Times New Roman"/>
          <w:sz w:val="25"/>
          <w:szCs w:val="25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5"/>
          <w:szCs w:val="25"/>
          <w:lang w:val="ru-RU" w:eastAsia="ru-RU"/>
        </w:rPr>
        <w:t>- 7 204,9 тыс. руб.)</w:t>
      </w:r>
      <w:r w:rsidR="00DC2AF1" w:rsidRPr="00611FB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>
        <w:rPr>
          <w:rFonts w:ascii="Times New Roman" w:hAnsi="Times New Roman"/>
          <w:i/>
          <w:sz w:val="25"/>
          <w:szCs w:val="25"/>
          <w:lang w:val="ru-RU" w:eastAsia="ru-RU"/>
        </w:rPr>
        <w:t>связано с тем, что в</w:t>
      </w:r>
      <w:r w:rsidRPr="00611FBA">
        <w:rPr>
          <w:rFonts w:ascii="Times New Roman" w:hAnsi="Times New Roman"/>
          <w:i/>
          <w:sz w:val="25"/>
          <w:szCs w:val="25"/>
          <w:lang w:val="ru-RU" w:eastAsia="ru-RU"/>
        </w:rPr>
        <w:t xml:space="preserve"> 1 квартале 2021 года </w:t>
      </w:r>
      <w:r>
        <w:rPr>
          <w:rFonts w:ascii="Times New Roman" w:hAnsi="Times New Roman"/>
          <w:i/>
          <w:sz w:val="25"/>
          <w:szCs w:val="25"/>
          <w:lang w:val="ru-RU" w:eastAsia="ru-RU"/>
        </w:rPr>
        <w:t>был возврат</w:t>
      </w:r>
      <w:r w:rsidRPr="00611FBA">
        <w:rPr>
          <w:rFonts w:ascii="Times New Roman" w:hAnsi="Times New Roman"/>
          <w:i/>
          <w:sz w:val="25"/>
          <w:szCs w:val="25"/>
          <w:lang w:val="ru-RU" w:eastAsia="ru-RU"/>
        </w:rPr>
        <w:t xml:space="preserve"> краевых средств муниципальному учреждению «</w:t>
      </w:r>
      <w:proofErr w:type="spellStart"/>
      <w:r w:rsidRPr="00611FBA">
        <w:rPr>
          <w:rFonts w:ascii="Times New Roman" w:hAnsi="Times New Roman"/>
          <w:i/>
          <w:sz w:val="25"/>
          <w:szCs w:val="25"/>
          <w:lang w:val="ru-RU" w:eastAsia="ru-RU"/>
        </w:rPr>
        <w:t>Тюшевская</w:t>
      </w:r>
      <w:proofErr w:type="spellEnd"/>
      <w:r w:rsidRPr="00611FBA">
        <w:rPr>
          <w:rFonts w:ascii="Times New Roman" w:hAnsi="Times New Roman"/>
          <w:i/>
          <w:sz w:val="25"/>
          <w:szCs w:val="25"/>
          <w:lang w:val="ru-RU" w:eastAsia="ru-RU"/>
        </w:rPr>
        <w:t xml:space="preserve"> средняя общеобразовательная школа» на обеспечение функционирования организации, которые </w:t>
      </w:r>
      <w:r>
        <w:rPr>
          <w:rFonts w:ascii="Times New Roman" w:hAnsi="Times New Roman"/>
          <w:i/>
          <w:sz w:val="25"/>
          <w:szCs w:val="25"/>
          <w:lang w:val="ru-RU" w:eastAsia="ru-RU"/>
        </w:rPr>
        <w:t>поступали в 2020 году с правом использования в 2021 году);</w:t>
      </w:r>
    </w:p>
    <w:p w:rsidR="00B74CC9" w:rsidRPr="00611FBA" w:rsidRDefault="00B74CC9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611FBA">
        <w:rPr>
          <w:rFonts w:ascii="Times New Roman" w:hAnsi="Times New Roman"/>
          <w:sz w:val="25"/>
          <w:szCs w:val="25"/>
          <w:lang w:val="ru-RU" w:eastAsia="ru-RU"/>
        </w:rPr>
        <w:t>Другие доходы поступили в бюджет Октябрьского городского округа в  отчетном периоде с незначительными отклонениями от объем</w:t>
      </w:r>
      <w:r w:rsidR="004F7861">
        <w:rPr>
          <w:rFonts w:ascii="Times New Roman" w:hAnsi="Times New Roman"/>
          <w:sz w:val="25"/>
          <w:szCs w:val="25"/>
          <w:lang w:val="ru-RU" w:eastAsia="ru-RU"/>
        </w:rPr>
        <w:t>ов</w:t>
      </w:r>
      <w:r w:rsidR="00730009">
        <w:rPr>
          <w:rFonts w:ascii="Times New Roman" w:hAnsi="Times New Roman"/>
          <w:sz w:val="25"/>
          <w:szCs w:val="25"/>
          <w:lang w:val="ru-RU" w:eastAsia="ru-RU"/>
        </w:rPr>
        <w:t xml:space="preserve"> поступлений 1 квартала 2021</w:t>
      </w:r>
      <w:r w:rsidRPr="00611FBA">
        <w:rPr>
          <w:rFonts w:ascii="Times New Roman" w:hAnsi="Times New Roman"/>
          <w:sz w:val="25"/>
          <w:szCs w:val="25"/>
          <w:lang w:val="ru-RU" w:eastAsia="ru-RU"/>
        </w:rPr>
        <w:t xml:space="preserve"> года.</w:t>
      </w:r>
    </w:p>
    <w:p w:rsidR="00DE387D" w:rsidRPr="00611FBA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E0F18" w:rsidRPr="000675E6" w:rsidRDefault="00226EFE" w:rsidP="002A3D2F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611FB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A3D2F" w:rsidRPr="00611FBA">
        <w:rPr>
          <w:rFonts w:ascii="Times New Roman" w:hAnsi="Times New Roman"/>
          <w:sz w:val="25"/>
          <w:szCs w:val="25"/>
          <w:lang w:val="ru-RU"/>
        </w:rPr>
        <w:t xml:space="preserve">                     </w:t>
      </w:r>
      <w:r w:rsidR="00E17E88" w:rsidRPr="000675E6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0675E6">
        <w:rPr>
          <w:rFonts w:ascii="Times New Roman" w:hAnsi="Times New Roman"/>
          <w:b/>
          <w:sz w:val="25"/>
          <w:szCs w:val="25"/>
          <w:lang w:val="ru-RU"/>
        </w:rPr>
        <w:t>3</w:t>
      </w:r>
      <w:r w:rsidR="004D713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343FAD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</w:t>
      </w:r>
    </w:p>
    <w:p w:rsidR="00BE58CF" w:rsidRPr="000675E6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Всего в </w:t>
      </w:r>
      <w:r w:rsidR="003422C7" w:rsidRPr="000675E6">
        <w:rPr>
          <w:rFonts w:ascii="Times New Roman" w:hAnsi="Times New Roman"/>
          <w:sz w:val="25"/>
          <w:szCs w:val="25"/>
          <w:lang w:val="ru-RU"/>
        </w:rPr>
        <w:t xml:space="preserve">1 квартале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202</w:t>
      </w:r>
      <w:r w:rsidR="00EA332A">
        <w:rPr>
          <w:rFonts w:ascii="Times New Roman" w:hAnsi="Times New Roman"/>
          <w:sz w:val="25"/>
          <w:szCs w:val="25"/>
          <w:lang w:val="ru-RU"/>
        </w:rPr>
        <w:t>2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EA332A">
        <w:rPr>
          <w:rFonts w:ascii="Times New Roman" w:hAnsi="Times New Roman"/>
          <w:sz w:val="25"/>
          <w:szCs w:val="25"/>
          <w:lang w:val="ru-RU"/>
        </w:rPr>
        <w:t>190 973,2</w:t>
      </w:r>
      <w:r w:rsidR="00F30E6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64965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B730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EA332A">
        <w:rPr>
          <w:rFonts w:ascii="Times New Roman" w:hAnsi="Times New Roman"/>
          <w:sz w:val="25"/>
          <w:szCs w:val="25"/>
          <w:lang w:val="ru-RU"/>
        </w:rPr>
        <w:t>90 976,9</w:t>
      </w:r>
      <w:r w:rsidR="00AB573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40FB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с. руб.</w:t>
      </w:r>
      <w:r w:rsidR="00C8282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EA332A">
        <w:rPr>
          <w:rFonts w:ascii="Times New Roman" w:hAnsi="Times New Roman"/>
          <w:sz w:val="25"/>
          <w:szCs w:val="25"/>
          <w:lang w:val="ru-RU"/>
        </w:rPr>
        <w:t xml:space="preserve">100,0 </w:t>
      </w:r>
      <w:r w:rsidR="002A5805"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BE58CF" w:rsidRPr="000675E6">
        <w:rPr>
          <w:rFonts w:ascii="Times New Roman" w:hAnsi="Times New Roman"/>
          <w:sz w:val="25"/>
          <w:szCs w:val="25"/>
          <w:lang w:val="ru-RU"/>
        </w:rPr>
        <w:t xml:space="preserve"> от плана.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0675E6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6C3938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6C3938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6C3938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BE58CF" w:rsidRPr="006C393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6C3938">
        <w:rPr>
          <w:rFonts w:ascii="Times New Roman" w:hAnsi="Times New Roman"/>
          <w:b/>
          <w:sz w:val="25"/>
          <w:szCs w:val="25"/>
          <w:lang w:val="ru-RU"/>
        </w:rPr>
        <w:t xml:space="preserve">в </w:t>
      </w:r>
      <w:r w:rsidR="00BE58CF" w:rsidRPr="006C3938">
        <w:rPr>
          <w:rFonts w:ascii="Times New Roman" w:hAnsi="Times New Roman"/>
          <w:b/>
          <w:sz w:val="25"/>
          <w:szCs w:val="25"/>
          <w:lang w:val="ru-RU"/>
        </w:rPr>
        <w:t>20</w:t>
      </w:r>
      <w:r w:rsidR="00153B6B" w:rsidRPr="006C3938">
        <w:rPr>
          <w:rFonts w:ascii="Times New Roman" w:hAnsi="Times New Roman"/>
          <w:b/>
          <w:sz w:val="25"/>
          <w:szCs w:val="25"/>
          <w:lang w:val="ru-RU"/>
        </w:rPr>
        <w:t>2</w:t>
      </w:r>
      <w:r w:rsidR="001611D9">
        <w:rPr>
          <w:rFonts w:ascii="Times New Roman" w:hAnsi="Times New Roman"/>
          <w:b/>
          <w:sz w:val="25"/>
          <w:szCs w:val="25"/>
          <w:lang w:val="ru-RU"/>
        </w:rPr>
        <w:t>1</w:t>
      </w:r>
      <w:r w:rsidR="00F30E6A" w:rsidRPr="006C3938">
        <w:rPr>
          <w:rFonts w:ascii="Times New Roman" w:hAnsi="Times New Roman"/>
          <w:b/>
          <w:sz w:val="25"/>
          <w:szCs w:val="25"/>
          <w:lang w:val="ru-RU"/>
        </w:rPr>
        <w:t>-202</w:t>
      </w:r>
      <w:r w:rsidR="001611D9">
        <w:rPr>
          <w:rFonts w:ascii="Times New Roman" w:hAnsi="Times New Roman"/>
          <w:b/>
          <w:sz w:val="25"/>
          <w:szCs w:val="25"/>
          <w:lang w:val="ru-RU"/>
        </w:rPr>
        <w:t>2</w:t>
      </w:r>
      <w:r w:rsidR="00F30E6A" w:rsidRPr="006C3938">
        <w:rPr>
          <w:rFonts w:ascii="Times New Roman" w:hAnsi="Times New Roman"/>
          <w:b/>
          <w:sz w:val="25"/>
          <w:szCs w:val="25"/>
          <w:lang w:val="ru-RU"/>
        </w:rPr>
        <w:t xml:space="preserve"> гг.</w:t>
      </w:r>
    </w:p>
    <w:p w:rsidR="005527FF" w:rsidRPr="006C3938" w:rsidRDefault="005527FF" w:rsidP="005527FF">
      <w:pPr>
        <w:ind w:firstLine="708"/>
        <w:jc w:val="right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Таб. 2</w:t>
      </w:r>
    </w:p>
    <w:p w:rsidR="005527FF" w:rsidRPr="006C3938" w:rsidRDefault="005527FF" w:rsidP="005527FF">
      <w:pPr>
        <w:ind w:firstLine="708"/>
        <w:jc w:val="right"/>
        <w:rPr>
          <w:rFonts w:ascii="Times New Roman" w:hAnsi="Times New Roman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Тыс. руб</w:t>
      </w:r>
      <w:r w:rsidRPr="006C3938">
        <w:rPr>
          <w:rFonts w:ascii="Times New Roman" w:hAnsi="Times New Roman"/>
          <w:lang w:val="ru-RU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277"/>
        <w:gridCol w:w="1134"/>
        <w:gridCol w:w="1276"/>
        <w:gridCol w:w="1276"/>
        <w:gridCol w:w="1701"/>
      </w:tblGrid>
      <w:tr w:rsidR="00F30E6A" w:rsidRPr="002C3A93" w:rsidTr="00453BB0">
        <w:trPr>
          <w:trHeight w:val="380"/>
        </w:trPr>
        <w:tc>
          <w:tcPr>
            <w:tcW w:w="2834" w:type="dxa"/>
            <w:vMerge w:val="restart"/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30E6A" w:rsidRPr="006C3938" w:rsidRDefault="00F30E6A" w:rsidP="008538A4">
            <w:pPr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Изм</w:t>
            </w:r>
            <w:r w:rsidR="002F7516">
              <w:rPr>
                <w:rFonts w:ascii="Times New Roman" w:hAnsi="Times New Roman"/>
                <w:lang w:val="ru-RU"/>
              </w:rPr>
              <w:t>енения поступлений  в 1 кв. 2022</w:t>
            </w:r>
            <w:r w:rsidRPr="006C3938">
              <w:rPr>
                <w:rFonts w:ascii="Times New Roman" w:hAnsi="Times New Roman"/>
                <w:lang w:val="ru-RU"/>
              </w:rPr>
              <w:t xml:space="preserve"> году в сравнении с 1 кв.</w:t>
            </w:r>
            <w:r w:rsidR="001B0E4E" w:rsidRPr="006C3938">
              <w:rPr>
                <w:rFonts w:ascii="Times New Roman" w:hAnsi="Times New Roman"/>
                <w:lang w:val="ru-RU"/>
              </w:rPr>
              <w:t xml:space="preserve"> </w:t>
            </w:r>
            <w:r w:rsidR="002F7516">
              <w:rPr>
                <w:rFonts w:ascii="Times New Roman" w:hAnsi="Times New Roman"/>
                <w:lang w:val="ru-RU"/>
              </w:rPr>
              <w:t>2021</w:t>
            </w:r>
            <w:r w:rsidRPr="006C3938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F30E6A" w:rsidRPr="006C3938" w:rsidTr="00453BB0">
        <w:trPr>
          <w:trHeight w:val="375"/>
        </w:trPr>
        <w:tc>
          <w:tcPr>
            <w:tcW w:w="2834" w:type="dxa"/>
            <w:vMerge/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2F7516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1кв.2021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E6A" w:rsidRPr="006C3938" w:rsidRDefault="002F7516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1 кв.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E6A" w:rsidRPr="006C3938" w:rsidRDefault="00F30E6A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0E6A" w:rsidRPr="007C22B1" w:rsidTr="00453BB0">
        <w:trPr>
          <w:trHeight w:val="271"/>
        </w:trPr>
        <w:tc>
          <w:tcPr>
            <w:tcW w:w="2834" w:type="dxa"/>
            <w:vMerge/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6C3938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F30E6A" w:rsidP="008538A4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E6A" w:rsidRPr="006C3938" w:rsidRDefault="00F30E6A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0E6A" w:rsidRPr="006C3938" w:rsidTr="00453BB0">
        <w:trPr>
          <w:trHeight w:val="345"/>
        </w:trPr>
        <w:tc>
          <w:tcPr>
            <w:tcW w:w="2834" w:type="dxa"/>
            <w:tcBorders>
              <w:bottom w:val="single" w:sz="4" w:space="0" w:color="auto"/>
            </w:tcBorders>
          </w:tcPr>
          <w:p w:rsidR="00F30E6A" w:rsidRPr="00EA332A" w:rsidRDefault="00F30E6A" w:rsidP="008A4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EA332A" w:rsidRDefault="002F7516" w:rsidP="00E20C1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185 433,9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EA332A" w:rsidRDefault="00EA332A" w:rsidP="00A719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190 973,2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EA332A" w:rsidRDefault="00EA332A" w:rsidP="00E20C1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190 976,9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EA332A" w:rsidRDefault="00EA332A" w:rsidP="00E20C1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+ 3,7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EA332A" w:rsidRDefault="00EA332A" w:rsidP="00E20C1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+ 5 539,3</w:t>
            </w:r>
          </w:p>
        </w:tc>
      </w:tr>
      <w:tr w:rsidR="00F30E6A" w:rsidRPr="006C3938" w:rsidTr="00453BB0">
        <w:trPr>
          <w:trHeight w:val="285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6C3938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</w:t>
            </w:r>
            <w:proofErr w:type="spellStart"/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6C3938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0E6A" w:rsidRPr="006C3938" w:rsidTr="00453BB0">
        <w:trPr>
          <w:trHeight w:val="628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6C3938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2F7516" w:rsidP="00A20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75 093,2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EA332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79 956,8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79 956,8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  <w:tr w:rsidR="00F30E6A" w:rsidRPr="006C3938" w:rsidTr="00453BB0">
        <w:trPr>
          <w:trHeight w:val="556"/>
        </w:trPr>
        <w:tc>
          <w:tcPr>
            <w:tcW w:w="2834" w:type="dxa"/>
            <w:tcBorders>
              <w:bottom w:val="single" w:sz="4" w:space="0" w:color="auto"/>
            </w:tcBorders>
          </w:tcPr>
          <w:p w:rsidR="00F30E6A" w:rsidRPr="006C3938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Субсидии бюджету </w:t>
            </w:r>
            <w:r w:rsidR="00932B3D" w:rsidRPr="006C3938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(межбюджетные субсидии)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6C3938" w:rsidRDefault="002F751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14 772,1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30176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5 532,6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453B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5 532,6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  <w:tr w:rsidR="00F30E6A" w:rsidRPr="006C3938" w:rsidTr="00453BB0">
        <w:trPr>
          <w:trHeight w:val="63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6C3938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Субвенции бюджету </w:t>
            </w:r>
            <w:r w:rsidR="00932B3D" w:rsidRPr="006C3938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2F751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82 964,1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89 072,2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89 072,2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6C3938" w:rsidRDefault="00EA332A" w:rsidP="001E71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  <w:tr w:rsidR="00F30E6A" w:rsidRPr="006C3938" w:rsidTr="00453BB0">
        <w:trPr>
          <w:trHeight w:val="361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6C3938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2F751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12 604,5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EA332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16 411,6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453BB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16 405,3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  <w:tr w:rsidR="00F30E6A" w:rsidRPr="006C3938" w:rsidTr="00453BB0">
        <w:trPr>
          <w:trHeight w:val="631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6C3938" w:rsidRDefault="00F30E6A" w:rsidP="007C22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3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Прочие безвозмездные поступления в бюджет </w:t>
            </w:r>
            <w:r w:rsidR="007C22B1" w:rsidRPr="006C3938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2F751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6C3938" w:rsidRDefault="00EA332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6C3938" w:rsidRDefault="00EA332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504DC" w:rsidRPr="006C3938" w:rsidRDefault="000675E6" w:rsidP="000675E6">
      <w:pPr>
        <w:tabs>
          <w:tab w:val="left" w:pos="4270"/>
        </w:tabs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6C3938">
        <w:rPr>
          <w:rFonts w:ascii="Times New Roman" w:hAnsi="Times New Roman"/>
          <w:sz w:val="26"/>
          <w:szCs w:val="26"/>
          <w:lang w:val="ru-RU"/>
        </w:rPr>
        <w:tab/>
      </w:r>
    </w:p>
    <w:p w:rsidR="00A0361F" w:rsidRPr="006C3938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6C3938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6C3938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6C3938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6C3938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1E3A6F" w:rsidRPr="006C3938">
        <w:rPr>
          <w:rFonts w:ascii="Times New Roman" w:hAnsi="Times New Roman"/>
          <w:sz w:val="25"/>
          <w:szCs w:val="25"/>
          <w:lang w:val="ru-RU"/>
        </w:rPr>
        <w:t>7</w:t>
      </w:r>
      <w:r w:rsidR="00EA332A">
        <w:rPr>
          <w:rFonts w:ascii="Times New Roman" w:hAnsi="Times New Roman"/>
          <w:sz w:val="25"/>
          <w:szCs w:val="25"/>
          <w:lang w:val="ru-RU"/>
        </w:rPr>
        <w:t xml:space="preserve">9 956,8 </w:t>
      </w:r>
      <w:r w:rsidR="00690858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D1BD2" w:rsidRPr="006C3938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6C3938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6C3938">
        <w:rPr>
          <w:rFonts w:ascii="Times New Roman" w:hAnsi="Times New Roman"/>
          <w:sz w:val="25"/>
          <w:szCs w:val="25"/>
          <w:lang w:val="ru-RU"/>
        </w:rPr>
        <w:t>.</w:t>
      </w:r>
      <w:r w:rsidR="00A20DD9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7736" w:rsidRPr="006C3938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6C3938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3A6D8F" w:rsidRPr="006C3938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3A6D8F" w:rsidRPr="006C3938">
        <w:rPr>
          <w:rFonts w:ascii="Times New Roman" w:hAnsi="Times New Roman"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управления </w:t>
      </w:r>
      <w:r w:rsidR="003A6D8F" w:rsidRPr="006C3938">
        <w:rPr>
          <w:rFonts w:ascii="Times New Roman" w:hAnsi="Times New Roman"/>
          <w:sz w:val="25"/>
          <w:szCs w:val="25"/>
          <w:lang w:val="ru-RU"/>
        </w:rPr>
        <w:t xml:space="preserve"> по вопросам местного значения</w:t>
      </w:r>
      <w:r w:rsidR="00827736" w:rsidRPr="006C3938">
        <w:rPr>
          <w:rFonts w:ascii="Times New Roman" w:hAnsi="Times New Roman"/>
          <w:sz w:val="25"/>
          <w:szCs w:val="25"/>
          <w:lang w:val="ru-RU"/>
        </w:rPr>
        <w:t>, так же по</w:t>
      </w:r>
      <w:r w:rsidR="00A20DD9" w:rsidRPr="006C3938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6C3938">
        <w:rPr>
          <w:rFonts w:ascii="Times New Roman" w:hAnsi="Times New Roman"/>
          <w:sz w:val="25"/>
          <w:szCs w:val="25"/>
          <w:lang w:val="ru-RU"/>
        </w:rPr>
        <w:t xml:space="preserve">тупили в отчетном периоде </w:t>
      </w:r>
      <w:r w:rsidRPr="006C3938">
        <w:rPr>
          <w:rFonts w:ascii="Times New Roman" w:hAnsi="Times New Roman"/>
          <w:sz w:val="25"/>
          <w:szCs w:val="25"/>
          <w:lang w:val="ru-RU"/>
        </w:rPr>
        <w:t>в размере плановых назначений (</w:t>
      </w:r>
      <w:r w:rsidR="00EA332A">
        <w:rPr>
          <w:rFonts w:ascii="Times New Roman" w:hAnsi="Times New Roman"/>
          <w:sz w:val="25"/>
          <w:szCs w:val="25"/>
          <w:lang w:val="ru-RU"/>
        </w:rPr>
        <w:t>5 532,6</w:t>
      </w:r>
      <w:r w:rsidR="00C45A62" w:rsidRPr="006C3938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Pr="006C3938">
        <w:rPr>
          <w:rFonts w:ascii="Times New Roman" w:hAnsi="Times New Roman"/>
          <w:i/>
          <w:sz w:val="25"/>
          <w:szCs w:val="25"/>
          <w:lang w:val="ru-RU"/>
        </w:rPr>
        <w:t xml:space="preserve">). </w:t>
      </w:r>
      <w:r w:rsidRPr="006C3938">
        <w:rPr>
          <w:rFonts w:ascii="Times New Roman" w:hAnsi="Times New Roman"/>
          <w:sz w:val="25"/>
          <w:szCs w:val="25"/>
          <w:lang w:val="ru-RU"/>
        </w:rPr>
        <w:t>П</w:t>
      </w:r>
      <w:r w:rsidR="00A331F6" w:rsidRPr="006C3938">
        <w:rPr>
          <w:rFonts w:ascii="Times New Roman" w:hAnsi="Times New Roman"/>
          <w:sz w:val="25"/>
          <w:szCs w:val="25"/>
          <w:lang w:val="ru-RU"/>
        </w:rPr>
        <w:t xml:space="preserve">оступила субсидия на </w:t>
      </w:r>
      <w:proofErr w:type="spellStart"/>
      <w:r w:rsidR="00A331F6" w:rsidRPr="006C3938">
        <w:rPr>
          <w:rFonts w:ascii="Times New Roman" w:hAnsi="Times New Roman"/>
          <w:sz w:val="25"/>
          <w:szCs w:val="25"/>
          <w:lang w:val="ru-RU"/>
        </w:rPr>
        <w:t>софинансировани</w:t>
      </w:r>
      <w:r w:rsidRPr="006C3938">
        <w:rPr>
          <w:rFonts w:ascii="Times New Roman" w:hAnsi="Times New Roman"/>
          <w:sz w:val="25"/>
          <w:szCs w:val="25"/>
          <w:lang w:val="ru-RU"/>
        </w:rPr>
        <w:t>е</w:t>
      </w:r>
      <w:proofErr w:type="spellEnd"/>
      <w:r w:rsidRPr="006C3938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827736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EA332A">
        <w:rPr>
          <w:rFonts w:ascii="Times New Roman" w:hAnsi="Times New Roman"/>
          <w:sz w:val="25"/>
          <w:szCs w:val="25"/>
          <w:lang w:val="ru-RU"/>
        </w:rPr>
        <w:t>3 424,4</w:t>
      </w:r>
      <w:r w:rsidR="00827736" w:rsidRPr="006C3938">
        <w:rPr>
          <w:rFonts w:ascii="Times New Roman" w:hAnsi="Times New Roman"/>
          <w:sz w:val="25"/>
          <w:szCs w:val="25"/>
          <w:lang w:val="ru-RU"/>
        </w:rPr>
        <w:t xml:space="preserve"> тыс. руб.), а так же субсидия  </w:t>
      </w:r>
      <w:r w:rsidR="00EA332A">
        <w:rPr>
          <w:rFonts w:ascii="Times New Roman" w:hAnsi="Times New Roman"/>
          <w:sz w:val="25"/>
          <w:szCs w:val="25"/>
          <w:lang w:val="ru-RU"/>
        </w:rPr>
        <w:t xml:space="preserve">на поддержку отрасли культуры </w:t>
      </w:r>
      <w:r w:rsidR="00827736" w:rsidRPr="006C393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EA332A">
        <w:rPr>
          <w:rFonts w:ascii="Times New Roman" w:hAnsi="Times New Roman"/>
          <w:sz w:val="25"/>
          <w:szCs w:val="25"/>
          <w:lang w:val="ru-RU"/>
        </w:rPr>
        <w:t>2 108,2</w:t>
      </w:r>
      <w:r w:rsidR="00827736" w:rsidRPr="006C3938">
        <w:rPr>
          <w:rFonts w:ascii="Times New Roman" w:hAnsi="Times New Roman"/>
          <w:sz w:val="25"/>
          <w:szCs w:val="25"/>
          <w:lang w:val="ru-RU"/>
        </w:rPr>
        <w:t xml:space="preserve"> тыс. руб.).</w:t>
      </w:r>
    </w:p>
    <w:p w:rsidR="00827736" w:rsidRPr="006C3938" w:rsidRDefault="00A20DD9" w:rsidP="00863614">
      <w:pPr>
        <w:pStyle w:val="ConsPlusNormal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6C3938">
        <w:rPr>
          <w:rFonts w:ascii="Times New Roman" w:hAnsi="Times New Roman"/>
          <w:sz w:val="25"/>
          <w:szCs w:val="25"/>
        </w:rPr>
        <w:t xml:space="preserve">Субвенции </w:t>
      </w:r>
      <w:r w:rsidR="00827736" w:rsidRPr="006C3938">
        <w:rPr>
          <w:rFonts w:ascii="Times New Roman" w:hAnsi="Times New Roman"/>
          <w:sz w:val="25"/>
          <w:szCs w:val="25"/>
        </w:rPr>
        <w:t>городскому округу</w:t>
      </w:r>
      <w:r w:rsidRPr="006C3938">
        <w:rPr>
          <w:rFonts w:ascii="Times New Roman" w:hAnsi="Times New Roman"/>
          <w:sz w:val="25"/>
          <w:szCs w:val="25"/>
        </w:rPr>
        <w:t xml:space="preserve"> </w:t>
      </w:r>
      <w:r w:rsidR="003A6D8F" w:rsidRPr="006C3938">
        <w:rPr>
          <w:rFonts w:ascii="Times New Roman" w:hAnsi="Times New Roman"/>
          <w:sz w:val="25"/>
          <w:szCs w:val="25"/>
        </w:rPr>
        <w:t>в целях финансового обеспечения расходных обязательств, возникающих при выполнении государственных полномочий</w:t>
      </w:r>
      <w:r w:rsidR="00863614" w:rsidRPr="006C3938">
        <w:rPr>
          <w:rFonts w:ascii="Times New Roman" w:hAnsi="Times New Roman"/>
          <w:sz w:val="25"/>
          <w:szCs w:val="25"/>
        </w:rPr>
        <w:t xml:space="preserve">, </w:t>
      </w:r>
      <w:r w:rsidR="003A6D8F" w:rsidRPr="006C3938">
        <w:rPr>
          <w:rFonts w:ascii="Times New Roman" w:hAnsi="Times New Roman"/>
          <w:sz w:val="25"/>
          <w:szCs w:val="25"/>
        </w:rPr>
        <w:t>пер</w:t>
      </w:r>
      <w:r w:rsidR="00827736" w:rsidRPr="006C3938">
        <w:rPr>
          <w:rFonts w:ascii="Times New Roman" w:hAnsi="Times New Roman"/>
          <w:sz w:val="25"/>
          <w:szCs w:val="25"/>
        </w:rPr>
        <w:t xml:space="preserve">еданных для осуществления округу, как указано выше, поступили </w:t>
      </w:r>
      <w:r w:rsidR="00917382">
        <w:rPr>
          <w:rFonts w:ascii="Times New Roman" w:hAnsi="Times New Roman"/>
          <w:sz w:val="25"/>
          <w:szCs w:val="25"/>
        </w:rPr>
        <w:t>в полном объеме 89 072,2 тыс. руб.</w:t>
      </w:r>
    </w:p>
    <w:p w:rsidR="002D013C" w:rsidRPr="006C3938" w:rsidRDefault="00611A83" w:rsidP="00917382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6C3938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Pr="006C3938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8D163D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917382">
        <w:rPr>
          <w:rFonts w:ascii="Times New Roman" w:hAnsi="Times New Roman"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года иных межбюджетных трансфертов </w:t>
      </w:r>
      <w:r w:rsidR="00917382">
        <w:rPr>
          <w:rFonts w:ascii="Times New Roman" w:hAnsi="Times New Roman"/>
          <w:sz w:val="25"/>
          <w:szCs w:val="25"/>
          <w:lang w:val="ru-RU"/>
        </w:rPr>
        <w:t>также</w:t>
      </w:r>
      <w:r w:rsidR="008D163D" w:rsidRPr="006C3938">
        <w:rPr>
          <w:rFonts w:ascii="Times New Roman" w:hAnsi="Times New Roman"/>
          <w:sz w:val="25"/>
          <w:szCs w:val="25"/>
          <w:lang w:val="ru-RU"/>
        </w:rPr>
        <w:t xml:space="preserve"> вы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полнен на </w:t>
      </w:r>
      <w:r w:rsidR="00917382">
        <w:rPr>
          <w:rFonts w:ascii="Times New Roman" w:hAnsi="Times New Roman"/>
          <w:sz w:val="25"/>
          <w:szCs w:val="25"/>
          <w:lang w:val="ru-RU"/>
        </w:rPr>
        <w:t>100%.</w:t>
      </w:r>
      <w:r w:rsidR="008D163D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FE32DA" w:rsidRPr="006C3938" w:rsidRDefault="00BB295F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 w:rsidR="00917382">
        <w:rPr>
          <w:rFonts w:ascii="Times New Roman" w:hAnsi="Times New Roman"/>
          <w:sz w:val="25"/>
          <w:szCs w:val="25"/>
          <w:lang w:val="ru-RU"/>
        </w:rPr>
        <w:t>1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года  безвозмездные поступления в бюджет Октябрьского городского округа увеличились в целом </w:t>
      </w:r>
      <w:r w:rsidR="00917382">
        <w:rPr>
          <w:rFonts w:ascii="Times New Roman" w:hAnsi="Times New Roman"/>
          <w:sz w:val="25"/>
          <w:szCs w:val="25"/>
          <w:lang w:val="ru-RU"/>
        </w:rPr>
        <w:t>на 5 539,3 тыс. руб.</w:t>
      </w:r>
    </w:p>
    <w:p w:rsidR="009F3D75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C3938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343FAD" w:rsidRPr="006C3938" w:rsidRDefault="00343FAD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A82AEA" w:rsidRPr="006C3938" w:rsidRDefault="00A82AEA" w:rsidP="00A82AEA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 от </w:t>
      </w:r>
      <w:r w:rsidR="002F7516">
        <w:rPr>
          <w:rFonts w:ascii="Times New Roman" w:hAnsi="Times New Roman"/>
          <w:sz w:val="25"/>
          <w:szCs w:val="25"/>
          <w:lang w:val="ru-RU"/>
        </w:rPr>
        <w:t>08.12.2021 № 447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городско</w:t>
      </w:r>
      <w:r w:rsidR="002F7516">
        <w:rPr>
          <w:rFonts w:ascii="Times New Roman" w:hAnsi="Times New Roman"/>
          <w:sz w:val="25"/>
          <w:szCs w:val="25"/>
          <w:lang w:val="ru-RU"/>
        </w:rPr>
        <w:t>го округа Пермского края на 2022 год и на плановый период 2023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и 202</w:t>
      </w:r>
      <w:r w:rsidR="002F7516">
        <w:rPr>
          <w:rFonts w:ascii="Times New Roman" w:hAnsi="Times New Roman"/>
          <w:sz w:val="25"/>
          <w:szCs w:val="25"/>
          <w:lang w:val="ru-RU"/>
        </w:rPr>
        <w:t>4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годов»   </w:t>
      </w:r>
      <w:r w:rsidRPr="006C3938">
        <w:rPr>
          <w:rFonts w:ascii="Times New Roman" w:hAnsi="Times New Roman"/>
          <w:b/>
          <w:sz w:val="25"/>
          <w:szCs w:val="25"/>
          <w:lang w:val="ru-RU"/>
        </w:rPr>
        <w:t>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бюджета Октябрьского городского округа на 202</w:t>
      </w:r>
      <w:r w:rsidR="002F7516">
        <w:rPr>
          <w:rFonts w:ascii="Times New Roman" w:hAnsi="Times New Roman"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 утверждены в сумме 1</w:t>
      </w:r>
      <w:r w:rsidR="002F7516">
        <w:rPr>
          <w:rFonts w:ascii="Times New Roman" w:hAnsi="Times New Roman"/>
          <w:sz w:val="25"/>
          <w:szCs w:val="25"/>
          <w:lang w:val="ru-RU"/>
        </w:rPr>
        <w:t> 229 619,5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тыс. руб. </w:t>
      </w:r>
    </w:p>
    <w:p w:rsidR="00DD6605" w:rsidRPr="006C3938" w:rsidRDefault="00A82AEA" w:rsidP="00A82AEA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6C3938">
        <w:rPr>
          <w:rFonts w:ascii="Times New Roman" w:hAnsi="Times New Roman"/>
          <w:sz w:val="25"/>
          <w:szCs w:val="25"/>
          <w:lang w:val="ru-RU"/>
        </w:rPr>
        <w:tab/>
      </w:r>
      <w:r w:rsidR="00DD6605" w:rsidRPr="006C3938">
        <w:rPr>
          <w:rFonts w:ascii="Times New Roman" w:hAnsi="Times New Roman"/>
          <w:sz w:val="25"/>
          <w:szCs w:val="25"/>
          <w:lang w:val="ru-RU"/>
        </w:rPr>
        <w:t>В соответст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>в</w:t>
      </w:r>
      <w:r w:rsidR="00DD6605" w:rsidRPr="006C3938">
        <w:rPr>
          <w:rFonts w:ascii="Times New Roman" w:hAnsi="Times New Roman"/>
          <w:sz w:val="25"/>
          <w:szCs w:val="25"/>
          <w:lang w:val="ru-RU"/>
        </w:rPr>
        <w:t xml:space="preserve">ии со 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>С</w:t>
      </w:r>
      <w:r w:rsidRPr="006C3938">
        <w:rPr>
          <w:rFonts w:ascii="Times New Roman" w:hAnsi="Times New Roman"/>
          <w:sz w:val="25"/>
          <w:szCs w:val="25"/>
          <w:lang w:val="ru-RU"/>
        </w:rPr>
        <w:t>водной бюджетной росписью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 xml:space="preserve"> бюджета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 xml:space="preserve">,  составленной согласно требованиям ст. 217 Бюджетного кодекса РФ, </w:t>
      </w:r>
      <w:r w:rsidR="00DD6605" w:rsidRPr="006C3938">
        <w:rPr>
          <w:rFonts w:ascii="Times New Roman" w:hAnsi="Times New Roman"/>
          <w:sz w:val="25"/>
          <w:szCs w:val="25"/>
          <w:lang w:val="ru-RU"/>
        </w:rPr>
        <w:t xml:space="preserve">плановые расходы </w:t>
      </w:r>
      <w:r w:rsidR="00DA678A" w:rsidRPr="006C3938">
        <w:rPr>
          <w:rFonts w:ascii="Times New Roman" w:hAnsi="Times New Roman"/>
          <w:sz w:val="25"/>
          <w:szCs w:val="25"/>
          <w:lang w:val="ru-RU"/>
        </w:rPr>
        <w:t>на 20</w:t>
      </w:r>
      <w:r w:rsidR="002F7516">
        <w:rPr>
          <w:rFonts w:ascii="Times New Roman" w:hAnsi="Times New Roman"/>
          <w:sz w:val="25"/>
          <w:szCs w:val="25"/>
          <w:lang w:val="ru-RU"/>
        </w:rPr>
        <w:t>22</w:t>
      </w:r>
      <w:r w:rsidR="00DA678A" w:rsidRPr="006C3938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1C7738" w:rsidRPr="006C3938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DA678A" w:rsidRPr="006C3938">
        <w:rPr>
          <w:rFonts w:ascii="Times New Roman" w:hAnsi="Times New Roman"/>
          <w:sz w:val="25"/>
          <w:szCs w:val="25"/>
          <w:lang w:val="ru-RU"/>
        </w:rPr>
        <w:t>с</w:t>
      </w:r>
      <w:r w:rsidR="001C7738" w:rsidRPr="006C3938">
        <w:rPr>
          <w:rFonts w:ascii="Times New Roman" w:hAnsi="Times New Roman"/>
          <w:sz w:val="25"/>
          <w:szCs w:val="25"/>
          <w:lang w:val="ru-RU"/>
        </w:rPr>
        <w:t xml:space="preserve">оставили </w:t>
      </w:r>
      <w:r w:rsidR="00917382">
        <w:rPr>
          <w:rFonts w:ascii="Times New Roman" w:hAnsi="Times New Roman"/>
          <w:sz w:val="25"/>
          <w:szCs w:val="25"/>
          <w:lang w:val="ru-RU"/>
        </w:rPr>
        <w:t>1 307 660,8</w:t>
      </w:r>
      <w:r w:rsidR="00DD6605" w:rsidRPr="006C3938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A678A" w:rsidRPr="006C3938">
        <w:rPr>
          <w:rFonts w:ascii="Times New Roman" w:hAnsi="Times New Roman"/>
          <w:sz w:val="25"/>
          <w:szCs w:val="25"/>
          <w:lang w:val="ru-RU"/>
        </w:rPr>
        <w:t xml:space="preserve">  (на отчетную дату).</w:t>
      </w:r>
    </w:p>
    <w:p w:rsidR="009E1E4F" w:rsidRPr="006C3938" w:rsidRDefault="009E1E4F" w:rsidP="009E1E4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Плановые расходы на 1 квартал 20</w:t>
      </w:r>
      <w:r w:rsidR="002F7516">
        <w:rPr>
          <w:rFonts w:ascii="Times New Roman" w:hAnsi="Times New Roman"/>
          <w:sz w:val="25"/>
          <w:szCs w:val="25"/>
          <w:lang w:val="ru-RU"/>
        </w:rPr>
        <w:t>22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года были определены  в сумме </w:t>
      </w:r>
      <w:r w:rsidR="00917382">
        <w:rPr>
          <w:rFonts w:ascii="Times New Roman" w:hAnsi="Times New Roman"/>
          <w:sz w:val="25"/>
          <w:szCs w:val="25"/>
          <w:lang w:val="ru-RU"/>
        </w:rPr>
        <w:t>310 317,3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917382">
        <w:rPr>
          <w:rFonts w:ascii="Times New Roman" w:hAnsi="Times New Roman"/>
          <w:sz w:val="25"/>
          <w:szCs w:val="25"/>
          <w:lang w:val="ru-RU"/>
        </w:rPr>
        <w:t>23,7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 по Сводной бюджетной росписи). </w:t>
      </w:r>
    </w:p>
    <w:p w:rsidR="000B496F" w:rsidRDefault="009F3D75" w:rsidP="000B496F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6C3938">
        <w:rPr>
          <w:rFonts w:ascii="Times New Roman" w:hAnsi="Times New Roman"/>
          <w:sz w:val="25"/>
          <w:szCs w:val="25"/>
          <w:lang w:val="ru-RU"/>
        </w:rPr>
        <w:t>ов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6C3938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BE6FD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C3938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1C7738" w:rsidRPr="006C3938">
        <w:rPr>
          <w:rFonts w:ascii="Times New Roman" w:hAnsi="Times New Roman"/>
          <w:sz w:val="25"/>
          <w:szCs w:val="25"/>
          <w:lang w:val="ru-RU"/>
        </w:rPr>
        <w:t>2</w:t>
      </w:r>
      <w:r w:rsidR="002F7516">
        <w:rPr>
          <w:rFonts w:ascii="Times New Roman" w:hAnsi="Times New Roman"/>
          <w:sz w:val="25"/>
          <w:szCs w:val="25"/>
          <w:lang w:val="ru-RU"/>
        </w:rPr>
        <w:t>2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BE6FD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17382">
        <w:rPr>
          <w:rFonts w:ascii="Times New Roman" w:hAnsi="Times New Roman"/>
          <w:sz w:val="25"/>
          <w:szCs w:val="25"/>
          <w:lang w:val="ru-RU"/>
        </w:rPr>
        <w:t>211 796,5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BE6FDB"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917382">
        <w:rPr>
          <w:rFonts w:ascii="Times New Roman" w:hAnsi="Times New Roman"/>
          <w:sz w:val="25"/>
          <w:szCs w:val="25"/>
          <w:lang w:val="ru-RU"/>
        </w:rPr>
        <w:t xml:space="preserve">68,3 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EE41B2" w:rsidRPr="006C3938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6C3938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6C3938">
        <w:rPr>
          <w:rFonts w:ascii="Times New Roman" w:hAnsi="Times New Roman"/>
          <w:sz w:val="25"/>
          <w:szCs w:val="25"/>
          <w:lang w:val="ru-RU"/>
        </w:rPr>
        <w:t>а</w:t>
      </w:r>
      <w:r w:rsidR="00BE6FDB" w:rsidRPr="006C39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6C3938">
        <w:rPr>
          <w:rFonts w:ascii="Times New Roman" w:hAnsi="Times New Roman"/>
          <w:i/>
          <w:sz w:val="25"/>
          <w:szCs w:val="25"/>
          <w:lang w:val="ru-RU"/>
        </w:rPr>
        <w:t>(</w:t>
      </w:r>
      <w:r w:rsidR="001C7738" w:rsidRPr="006C3938">
        <w:rPr>
          <w:rFonts w:ascii="Times New Roman" w:hAnsi="Times New Roman"/>
          <w:i/>
          <w:sz w:val="25"/>
          <w:szCs w:val="25"/>
          <w:lang w:val="ru-RU"/>
        </w:rPr>
        <w:t>1</w:t>
      </w:r>
      <w:r w:rsidR="00917382">
        <w:rPr>
          <w:rFonts w:ascii="Times New Roman" w:hAnsi="Times New Roman"/>
          <w:i/>
          <w:sz w:val="25"/>
          <w:szCs w:val="25"/>
          <w:lang w:val="ru-RU"/>
        </w:rPr>
        <w:t>6,2</w:t>
      </w:r>
      <w:r w:rsidR="00BE6FDB" w:rsidRPr="006C3938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6C3938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6C3938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0B496F" w:rsidRDefault="000B496F" w:rsidP="000B496F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B82DAE" w:rsidRPr="006C3938" w:rsidRDefault="00B82DAE" w:rsidP="000B496F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>Динамика расходов бюджета округа за 2021-2022 гг.</w:t>
      </w:r>
    </w:p>
    <w:p w:rsidR="000B496F" w:rsidRPr="006C3938" w:rsidRDefault="000B496F" w:rsidP="000B496F">
      <w:pPr>
        <w:ind w:firstLine="708"/>
        <w:jc w:val="right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lastRenderedPageBreak/>
        <w:t xml:space="preserve">Таб. </w:t>
      </w:r>
      <w:r>
        <w:rPr>
          <w:rFonts w:ascii="Times New Roman" w:hAnsi="Times New Roman"/>
          <w:sz w:val="25"/>
          <w:szCs w:val="25"/>
          <w:lang w:val="ru-RU"/>
        </w:rPr>
        <w:t>3</w:t>
      </w:r>
    </w:p>
    <w:p w:rsidR="000B496F" w:rsidRPr="006C3938" w:rsidRDefault="000B496F" w:rsidP="000B496F">
      <w:pPr>
        <w:ind w:firstLine="708"/>
        <w:jc w:val="right"/>
        <w:rPr>
          <w:rFonts w:ascii="Times New Roman" w:hAnsi="Times New Roman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Тыс. руб</w:t>
      </w:r>
      <w:r w:rsidRPr="006C3938">
        <w:rPr>
          <w:rFonts w:ascii="Times New Roman" w:hAnsi="Times New Roman"/>
          <w:lang w:val="ru-RU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276"/>
        <w:gridCol w:w="1276"/>
        <w:gridCol w:w="1559"/>
      </w:tblGrid>
      <w:tr w:rsidR="000B496F" w:rsidRPr="002C3A93" w:rsidTr="001D0115">
        <w:trPr>
          <w:trHeight w:val="380"/>
        </w:trPr>
        <w:tc>
          <w:tcPr>
            <w:tcW w:w="3119" w:type="dxa"/>
            <w:vMerge w:val="restart"/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 xml:space="preserve">Наименование  </w:t>
            </w:r>
            <w:r>
              <w:rPr>
                <w:rFonts w:ascii="Times New Roman" w:hAnsi="Times New Roman"/>
                <w:lang w:val="ru-RU"/>
              </w:rPr>
              <w:t>расходов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 xml:space="preserve">Фактические </w:t>
            </w:r>
            <w:r>
              <w:rPr>
                <w:rFonts w:ascii="Times New Roman" w:hAnsi="Times New Roman"/>
                <w:lang w:val="ru-RU"/>
              </w:rPr>
              <w:t>расходы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B496F" w:rsidRPr="006C3938" w:rsidRDefault="000B496F" w:rsidP="001D0115">
            <w:pPr>
              <w:rPr>
                <w:rFonts w:ascii="Times New Roman" w:hAnsi="Times New Roman"/>
                <w:lang w:val="ru-RU"/>
              </w:rPr>
            </w:pPr>
            <w:r w:rsidRPr="006C3938">
              <w:rPr>
                <w:rFonts w:ascii="Times New Roman" w:hAnsi="Times New Roman"/>
                <w:lang w:val="ru-RU"/>
              </w:rPr>
              <w:t>Изм</w:t>
            </w:r>
            <w:r>
              <w:rPr>
                <w:rFonts w:ascii="Times New Roman" w:hAnsi="Times New Roman"/>
                <w:lang w:val="ru-RU"/>
              </w:rPr>
              <w:t>енения расходов в 1 кв. 2022 года</w:t>
            </w:r>
            <w:r w:rsidRPr="006C3938">
              <w:rPr>
                <w:rFonts w:ascii="Times New Roman" w:hAnsi="Times New Roman"/>
                <w:lang w:val="ru-RU"/>
              </w:rPr>
              <w:t xml:space="preserve"> в сравнении с 1 кв. </w:t>
            </w:r>
            <w:r>
              <w:rPr>
                <w:rFonts w:ascii="Times New Roman" w:hAnsi="Times New Roman"/>
                <w:lang w:val="ru-RU"/>
              </w:rPr>
              <w:t>2021</w:t>
            </w:r>
            <w:r w:rsidRPr="006C3938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0B496F" w:rsidRPr="006C3938" w:rsidTr="001D0115">
        <w:trPr>
          <w:trHeight w:val="375"/>
        </w:trPr>
        <w:tc>
          <w:tcPr>
            <w:tcW w:w="3119" w:type="dxa"/>
            <w:vMerge/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1кв.2021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1 кв.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B496F" w:rsidRPr="006C3938" w:rsidRDefault="000B496F" w:rsidP="001D01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B496F" w:rsidRPr="007C22B1" w:rsidTr="001D0115">
        <w:trPr>
          <w:trHeight w:val="271"/>
        </w:trPr>
        <w:tc>
          <w:tcPr>
            <w:tcW w:w="3119" w:type="dxa"/>
            <w:vMerge/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B496F" w:rsidRPr="006C3938" w:rsidRDefault="000B496F" w:rsidP="001D01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B496F" w:rsidRPr="006C3938" w:rsidTr="001D0115">
        <w:trPr>
          <w:trHeight w:val="345"/>
        </w:trPr>
        <w:tc>
          <w:tcPr>
            <w:tcW w:w="3119" w:type="dxa"/>
            <w:tcBorders>
              <w:bottom w:val="single" w:sz="4" w:space="0" w:color="auto"/>
            </w:tcBorders>
          </w:tcPr>
          <w:p w:rsidR="000B496F" w:rsidRPr="00EA332A" w:rsidRDefault="000B496F" w:rsidP="001D011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A332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496F" w:rsidRPr="00EA332A" w:rsidRDefault="000B496F" w:rsidP="001D01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167 422,4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496F" w:rsidRPr="00EA332A" w:rsidRDefault="000B496F" w:rsidP="001D01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310 317,3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EA332A" w:rsidRDefault="000B496F" w:rsidP="001D01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211 796,5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EA332A" w:rsidRDefault="000B496F" w:rsidP="001D01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- 98 520,8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496F" w:rsidRPr="00EA332A" w:rsidRDefault="000B496F" w:rsidP="001D01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+ 44 374,1</w:t>
            </w:r>
          </w:p>
        </w:tc>
      </w:tr>
      <w:tr w:rsidR="000B496F" w:rsidRPr="006C3938" w:rsidTr="001D0115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Pr="00D26E33" w:rsidRDefault="000B496F" w:rsidP="001D01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24 019,6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40 771,8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- 5 471,8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+ 11 280,4</w:t>
            </w:r>
          </w:p>
        </w:tc>
      </w:tr>
      <w:tr w:rsidR="000B496F" w:rsidRPr="00D26E33" w:rsidTr="001D0115">
        <w:trPr>
          <w:trHeight w:val="628"/>
        </w:trPr>
        <w:tc>
          <w:tcPr>
            <w:tcW w:w="3119" w:type="dxa"/>
            <w:tcBorders>
              <w:top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«Национальная безопасность и правоохранительная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5 297,6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- 1 674,7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+ 2 273,9</w:t>
            </w:r>
          </w:p>
        </w:tc>
      </w:tr>
      <w:tr w:rsidR="000B496F" w:rsidRPr="00D26E33" w:rsidTr="001D0115">
        <w:trPr>
          <w:trHeight w:val="556"/>
        </w:trPr>
        <w:tc>
          <w:tcPr>
            <w:tcW w:w="3119" w:type="dxa"/>
            <w:tcBorders>
              <w:bottom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12 091,2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16 023,5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14 219,5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- 1 804,0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+ 2 128,3</w:t>
            </w:r>
          </w:p>
        </w:tc>
      </w:tr>
      <w:tr w:rsidR="000B496F" w:rsidRPr="00D26E33" w:rsidTr="001D0115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«Жилищно – 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2 854,7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43 349,7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11 883,0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- 31 466,7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+ 9 028,3</w:t>
            </w:r>
          </w:p>
        </w:tc>
      </w:tr>
      <w:tr w:rsidR="000B496F" w:rsidRPr="00D26E33" w:rsidTr="001D0115">
        <w:trPr>
          <w:trHeight w:val="361"/>
        </w:trPr>
        <w:tc>
          <w:tcPr>
            <w:tcW w:w="3119" w:type="dxa"/>
            <w:tcBorders>
              <w:top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«Охрана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- 23,0</w:t>
            </w:r>
          </w:p>
        </w:tc>
      </w:tr>
      <w:tr w:rsidR="000B496F" w:rsidRPr="00D26E33" w:rsidTr="001D0115">
        <w:trPr>
          <w:trHeight w:val="6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Default="000B496F" w:rsidP="001D011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 00 «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90 751,2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157 646,9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111 362,0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- 46 284,9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+ 20 610,8</w:t>
            </w:r>
          </w:p>
        </w:tc>
      </w:tr>
      <w:tr w:rsidR="000B496F" w:rsidRPr="00D26E33" w:rsidTr="001D0115">
        <w:trPr>
          <w:trHeight w:val="6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15 567,0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15 408,8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14 980,5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- 428,3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- 586,5</w:t>
            </w:r>
          </w:p>
        </w:tc>
      </w:tr>
      <w:tr w:rsidR="000B496F" w:rsidRPr="00D26E33" w:rsidTr="001D0115">
        <w:trPr>
          <w:trHeight w:val="6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26E33">
              <w:rPr>
                <w:rFonts w:ascii="Times New Roman" w:hAnsi="Times New Roman"/>
                <w:sz w:val="22"/>
                <w:szCs w:val="22"/>
                <w:lang w:val="ru-RU"/>
              </w:rPr>
              <w:t>00 «Социальная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D26E33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14 058,5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22 299,8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13 608,4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- 8 691,4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- 450,1</w:t>
            </w:r>
          </w:p>
        </w:tc>
      </w:tr>
      <w:tr w:rsidR="000B496F" w:rsidRPr="00D26E33" w:rsidTr="001D0115">
        <w:trPr>
          <w:trHeight w:val="6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 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D26E33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2 468,3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2 596,9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- 2 616,4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+ 128,6</w:t>
            </w:r>
          </w:p>
        </w:tc>
      </w:tr>
      <w:tr w:rsidR="000B496F" w:rsidRPr="00D26E33" w:rsidTr="001D0115">
        <w:trPr>
          <w:trHeight w:val="631"/>
        </w:trPr>
        <w:tc>
          <w:tcPr>
            <w:tcW w:w="3119" w:type="dxa"/>
            <w:tcBorders>
              <w:top w:val="single" w:sz="4" w:space="0" w:color="auto"/>
            </w:tcBorders>
          </w:tcPr>
          <w:p w:rsidR="000B496F" w:rsidRPr="00D26E33" w:rsidRDefault="000B496F" w:rsidP="001D011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 00 «Средства массовой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D26E33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6F" w:rsidRPr="006C3938" w:rsidRDefault="001D0115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496F" w:rsidRPr="006C3938" w:rsidRDefault="000B496F" w:rsidP="001D011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- 16,6</w:t>
            </w:r>
          </w:p>
        </w:tc>
      </w:tr>
    </w:tbl>
    <w:p w:rsidR="000B496F" w:rsidRDefault="000B496F" w:rsidP="000B496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0B496F" w:rsidRDefault="000B496F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</w:p>
    <w:p w:rsidR="008F4686" w:rsidRDefault="008F4686" w:rsidP="008F4686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Традиционно в структуре расходов бюджета городского округа  наибольший удельный вес занимают расходы по разделу 0700 «Образование»  - 52</w:t>
      </w:r>
      <w:r>
        <w:rPr>
          <w:rFonts w:ascii="Times New Roman" w:hAnsi="Times New Roman"/>
          <w:sz w:val="25"/>
          <w:szCs w:val="25"/>
          <w:lang w:val="ru-RU"/>
        </w:rPr>
        <w:t>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%.</w:t>
      </w:r>
    </w:p>
    <w:p w:rsidR="008F4686" w:rsidRPr="006C3938" w:rsidRDefault="008F4686" w:rsidP="008F468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увеличились в целом </w:t>
      </w:r>
      <w:r>
        <w:rPr>
          <w:rFonts w:ascii="Times New Roman" w:hAnsi="Times New Roman"/>
          <w:sz w:val="25"/>
          <w:szCs w:val="25"/>
          <w:lang w:val="ru-RU"/>
        </w:rPr>
        <w:t>на 44 374,1 тыс. руб.</w:t>
      </w:r>
    </w:p>
    <w:p w:rsidR="008F4686" w:rsidRDefault="008F4686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</w:p>
    <w:p w:rsidR="001C7738" w:rsidRPr="006C3938" w:rsidRDefault="000B496F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Исполнение</w:t>
      </w:r>
      <w:r w:rsidR="00BB4A2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расходов </w:t>
      </w:r>
      <w:r w:rsidR="00BB4A20">
        <w:rPr>
          <w:rFonts w:ascii="Times New Roman" w:hAnsi="Times New Roman"/>
          <w:sz w:val="25"/>
          <w:szCs w:val="25"/>
          <w:lang w:val="ru-RU"/>
        </w:rPr>
        <w:t>главными распорядителями бюджетных средств</w:t>
      </w:r>
      <w:r w:rsidR="009F3D75" w:rsidRPr="006C3938">
        <w:rPr>
          <w:rFonts w:ascii="Times New Roman" w:hAnsi="Times New Roman"/>
          <w:sz w:val="25"/>
          <w:szCs w:val="25"/>
          <w:lang w:val="ru-RU"/>
        </w:rPr>
        <w:t xml:space="preserve"> в отчетном периоде</w:t>
      </w:r>
      <w:r w:rsidR="001D0115">
        <w:rPr>
          <w:rFonts w:ascii="Times New Roman" w:hAnsi="Times New Roman"/>
          <w:sz w:val="25"/>
          <w:szCs w:val="25"/>
          <w:lang w:val="ru-RU"/>
        </w:rPr>
        <w:t xml:space="preserve"> представлено в таблице ниже</w:t>
      </w:r>
      <w:r>
        <w:rPr>
          <w:rFonts w:ascii="Times New Roman" w:hAnsi="Times New Roman"/>
          <w:sz w:val="25"/>
          <w:szCs w:val="25"/>
          <w:lang w:val="ru-RU"/>
        </w:rPr>
        <w:t>:</w:t>
      </w:r>
    </w:p>
    <w:p w:rsidR="009F3D75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6C3938">
        <w:rPr>
          <w:rFonts w:ascii="Times New Roman" w:hAnsi="Times New Roman"/>
          <w:sz w:val="26"/>
          <w:szCs w:val="26"/>
          <w:lang w:val="ru-RU"/>
        </w:rPr>
        <w:tab/>
      </w:r>
      <w:r w:rsidRPr="006C3938">
        <w:rPr>
          <w:rFonts w:ascii="Times New Roman" w:hAnsi="Times New Roman"/>
          <w:sz w:val="26"/>
          <w:szCs w:val="26"/>
          <w:lang w:val="ru-RU"/>
        </w:rPr>
        <w:tab/>
      </w:r>
      <w:r w:rsidRPr="006C3938">
        <w:rPr>
          <w:rFonts w:ascii="Times New Roman" w:hAnsi="Times New Roman"/>
          <w:lang w:val="ru-RU"/>
        </w:rPr>
        <w:t>Таб</w:t>
      </w:r>
      <w:r w:rsidR="00EE41B2" w:rsidRPr="006C3938">
        <w:rPr>
          <w:rFonts w:ascii="Times New Roman" w:hAnsi="Times New Roman"/>
          <w:lang w:val="ru-RU"/>
        </w:rPr>
        <w:t>.</w:t>
      </w:r>
      <w:r w:rsidR="000B496F">
        <w:rPr>
          <w:rFonts w:ascii="Times New Roman" w:hAnsi="Times New Roman"/>
          <w:lang w:val="ru-RU"/>
        </w:rPr>
        <w:t>4</w:t>
      </w:r>
    </w:p>
    <w:p w:rsidR="002F7516" w:rsidRPr="006C3938" w:rsidRDefault="002F7516" w:rsidP="009F3D75">
      <w:pPr>
        <w:ind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Тыс. руб.</w:t>
      </w:r>
    </w:p>
    <w:tbl>
      <w:tblPr>
        <w:tblW w:w="0" w:type="auto"/>
        <w:jc w:val="right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276"/>
        <w:gridCol w:w="1276"/>
        <w:gridCol w:w="1240"/>
      </w:tblGrid>
      <w:tr w:rsidR="00D40C33" w:rsidRPr="00D40C33" w:rsidTr="00B82DAE">
        <w:trPr>
          <w:cantSplit/>
          <w:trHeight w:val="1831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3" w:rsidRPr="006C3938" w:rsidRDefault="00D40C33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Главный распорядитель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0C33" w:rsidRPr="006C3938" w:rsidRDefault="00D40C33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 на 1 кв. 2022</w:t>
            </w:r>
            <w:r w:rsidRPr="006C3938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D40C33" w:rsidRPr="006C3938" w:rsidRDefault="00D40C33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0C33" w:rsidRPr="006C3938" w:rsidRDefault="00D40C33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Фактически исполнено на 01.04.2022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0C33" w:rsidRPr="006C3938" w:rsidRDefault="00D40C33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О</w:t>
            </w:r>
            <w:r>
              <w:rPr>
                <w:rFonts w:ascii="Times New Roman" w:hAnsi="Times New Roman"/>
                <w:b/>
                <w:lang w:val="ru-RU"/>
              </w:rPr>
              <w:t>тклонение от плана, +,-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40C33" w:rsidRPr="006C3938" w:rsidRDefault="00D40C33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3938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</w:tr>
      <w:tr w:rsidR="00D40C33" w:rsidRPr="000675E6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161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11 155,2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9 948,2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- 1 207,0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89,2</w:t>
            </w:r>
          </w:p>
        </w:tc>
      </w:tr>
      <w:tr w:rsidR="00D40C33" w:rsidRPr="00D40C33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161 027,8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114 376,0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- 46 651,8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71,0</w:t>
            </w:r>
          </w:p>
        </w:tc>
      </w:tr>
      <w:tr w:rsidR="00D40C33" w:rsidRPr="00D40C33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23 24</w:t>
            </w:r>
            <w:r w:rsidR="00D40C33"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22 580,6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- 667,4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97,1</w:t>
            </w:r>
          </w:p>
        </w:tc>
      </w:tr>
      <w:tr w:rsidR="00D40C33" w:rsidRPr="00D40C33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развития инфраструктуры, ЖКХ 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73 275,4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E86C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35 960,3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4A71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- 37 315,1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49,1</w:t>
            </w:r>
          </w:p>
        </w:tc>
      </w:tr>
      <w:tr w:rsidR="00D40C33" w:rsidRPr="00D40C33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D924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12 493,3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9311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- 8 051,7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35,6</w:t>
            </w:r>
          </w:p>
        </w:tc>
      </w:tr>
      <w:tr w:rsidR="00D40C33" w:rsidRPr="00D40C33" w:rsidTr="00B82DAE">
        <w:trPr>
          <w:trHeight w:val="165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D40C3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26 564,2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22 336,5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1C77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- 4 228,0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84,1</w:t>
            </w:r>
          </w:p>
        </w:tc>
      </w:tr>
      <w:tr w:rsidR="00D40C33" w:rsidRPr="00D40C33" w:rsidTr="00B82DAE">
        <w:trPr>
          <w:trHeight w:val="127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C33" w:rsidRPr="000675E6" w:rsidRDefault="009376C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Дума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243D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- 147,1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72,6</w:t>
            </w:r>
          </w:p>
        </w:tc>
      </w:tr>
      <w:tr w:rsidR="00D40C33" w:rsidRPr="00D40C33" w:rsidTr="00B82DAE">
        <w:trPr>
          <w:trHeight w:val="210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C33" w:rsidRPr="000675E6" w:rsidRDefault="009376C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Контрольно-счетная палата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B058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86,2</w:t>
            </w:r>
          </w:p>
        </w:tc>
      </w:tr>
      <w:tr w:rsidR="00D40C33" w:rsidRPr="00D40C33" w:rsidTr="00B82DAE">
        <w:trPr>
          <w:trHeight w:val="142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2F75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сельского хозяйства 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9376C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88,3</w:t>
            </w:r>
          </w:p>
        </w:tc>
      </w:tr>
      <w:tr w:rsidR="00D40C33" w:rsidRPr="000675E6" w:rsidTr="00B82DAE">
        <w:trPr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B058D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310 317,3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E86C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211 796,5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3" w:rsidRPr="000675E6" w:rsidRDefault="00D40C33" w:rsidP="004A71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- 98 520,8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C33" w:rsidRPr="000675E6" w:rsidRDefault="00D40C33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68,3</w:t>
            </w:r>
          </w:p>
        </w:tc>
      </w:tr>
    </w:tbl>
    <w:p w:rsidR="00B82DAE" w:rsidRPr="00B82DAE" w:rsidRDefault="00B82DAE" w:rsidP="00B82DA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F4686" w:rsidRPr="008F4686" w:rsidRDefault="008F4686" w:rsidP="008F4686">
      <w:pPr>
        <w:pStyle w:val="aa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ab/>
      </w:r>
      <w:r w:rsidRPr="008F4686">
        <w:rPr>
          <w:rFonts w:ascii="Times New Roman" w:hAnsi="Times New Roman"/>
          <w:b/>
          <w:sz w:val="25"/>
          <w:szCs w:val="25"/>
          <w:lang w:val="ru-RU"/>
        </w:rPr>
        <w:t>Всего не использовано</w:t>
      </w:r>
      <w:r w:rsidRPr="008F4686">
        <w:rPr>
          <w:rFonts w:ascii="Times New Roman" w:hAnsi="Times New Roman"/>
          <w:sz w:val="25"/>
          <w:szCs w:val="25"/>
          <w:lang w:val="ru-RU"/>
        </w:rPr>
        <w:t xml:space="preserve">   главными распорядителями бюджетных средств </w:t>
      </w:r>
      <w:r>
        <w:rPr>
          <w:rFonts w:ascii="Times New Roman" w:hAnsi="Times New Roman"/>
          <w:sz w:val="25"/>
          <w:szCs w:val="25"/>
          <w:lang w:val="ru-RU"/>
        </w:rPr>
        <w:t>98 520,8</w:t>
      </w:r>
      <w:r w:rsidRPr="008F4686">
        <w:rPr>
          <w:rFonts w:ascii="Times New Roman" w:hAnsi="Times New Roman"/>
          <w:sz w:val="25"/>
          <w:szCs w:val="25"/>
          <w:lang w:val="ru-RU"/>
        </w:rPr>
        <w:t xml:space="preserve">  тыс. руб. бюджетных назначений.</w:t>
      </w:r>
    </w:p>
    <w:p w:rsidR="008F4686" w:rsidRPr="008F4686" w:rsidRDefault="008F4686" w:rsidP="008F4686">
      <w:pPr>
        <w:pStyle w:val="aa"/>
        <w:jc w:val="both"/>
        <w:rPr>
          <w:rFonts w:ascii="Times New Roman" w:hAnsi="Times New Roman"/>
          <w:sz w:val="25"/>
          <w:szCs w:val="25"/>
          <w:lang w:val="ru-RU"/>
        </w:rPr>
      </w:pPr>
      <w:r w:rsidRPr="008F4686">
        <w:rPr>
          <w:rFonts w:ascii="Times New Roman" w:hAnsi="Times New Roman"/>
          <w:sz w:val="25"/>
          <w:szCs w:val="25"/>
          <w:lang w:val="ru-RU"/>
        </w:rPr>
        <w:tab/>
        <w:t>Ниже среднего по округу уровня исполнения бюджетных ассигнований произведено</w:t>
      </w:r>
      <w:r w:rsidRPr="008F4686">
        <w:rPr>
          <w:rFonts w:ascii="Times New Roman" w:hAnsi="Times New Roman"/>
          <w:szCs w:val="24"/>
          <w:lang w:val="ru-RU"/>
        </w:rPr>
        <w:t xml:space="preserve"> Управлением развития инфраструктуры, ЖКХ и благоустройства Администрации Октябрьского городского округа (</w:t>
      </w:r>
      <w:r>
        <w:rPr>
          <w:rFonts w:ascii="Times New Roman" w:hAnsi="Times New Roman"/>
          <w:szCs w:val="24"/>
          <w:lang w:val="ru-RU"/>
        </w:rPr>
        <w:t>49,1</w:t>
      </w:r>
      <w:r w:rsidRPr="008F4686">
        <w:rPr>
          <w:rFonts w:ascii="Times New Roman" w:hAnsi="Times New Roman"/>
          <w:szCs w:val="24"/>
          <w:lang w:val="ru-RU"/>
        </w:rPr>
        <w:t xml:space="preserve"> %), не исполнено  расходов на </w:t>
      </w:r>
      <w:r>
        <w:rPr>
          <w:rFonts w:ascii="Times New Roman" w:hAnsi="Times New Roman"/>
          <w:szCs w:val="24"/>
          <w:lang w:val="ru-RU"/>
        </w:rPr>
        <w:t xml:space="preserve">37 315,1 </w:t>
      </w:r>
      <w:r w:rsidRPr="008F4686">
        <w:rPr>
          <w:rFonts w:ascii="Times New Roman" w:hAnsi="Times New Roman"/>
          <w:szCs w:val="24"/>
          <w:lang w:val="ru-RU"/>
        </w:rPr>
        <w:t xml:space="preserve"> тыс. руб.</w:t>
      </w:r>
      <w:r>
        <w:rPr>
          <w:rFonts w:ascii="Times New Roman" w:hAnsi="Times New Roman"/>
          <w:szCs w:val="24"/>
          <w:lang w:val="ru-RU"/>
        </w:rPr>
        <w:t xml:space="preserve"> и Комитетом земельно-имущественных отношений и </w:t>
      </w:r>
      <w:r w:rsidR="007F31BA">
        <w:rPr>
          <w:rFonts w:ascii="Times New Roman" w:hAnsi="Times New Roman"/>
          <w:szCs w:val="24"/>
          <w:lang w:val="ru-RU"/>
        </w:rPr>
        <w:t xml:space="preserve">градостроительной деятельности </w:t>
      </w:r>
      <w:r>
        <w:rPr>
          <w:rFonts w:ascii="Times New Roman" w:hAnsi="Times New Roman"/>
          <w:szCs w:val="24"/>
          <w:lang w:val="ru-RU"/>
        </w:rPr>
        <w:t xml:space="preserve"> (35,6%), не исполнено 8 051,7 тыс. руб.</w:t>
      </w:r>
    </w:p>
    <w:p w:rsidR="00B82DAE" w:rsidRDefault="00B82DAE" w:rsidP="00C57074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F3D75" w:rsidRPr="000675E6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0675E6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0675E6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4"/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  <w:proofErr w:type="gramEnd"/>
    </w:p>
    <w:p w:rsidR="007B15F5" w:rsidRPr="000675E6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1D0115">
        <w:rPr>
          <w:rFonts w:ascii="Times New Roman" w:hAnsi="Times New Roman"/>
          <w:sz w:val="25"/>
          <w:szCs w:val="25"/>
          <w:lang w:val="ru-RU"/>
        </w:rPr>
        <w:t>35 300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1D0115">
        <w:rPr>
          <w:rFonts w:ascii="Times New Roman" w:hAnsi="Times New Roman"/>
          <w:sz w:val="25"/>
          <w:szCs w:val="25"/>
          <w:lang w:val="ru-RU"/>
        </w:rPr>
        <w:t>5 471,8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планировалось.</w:t>
      </w:r>
    </w:p>
    <w:p w:rsidR="00512F0B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512F0B">
        <w:rPr>
          <w:rFonts w:ascii="Times New Roman" w:hAnsi="Times New Roman"/>
          <w:sz w:val="25"/>
          <w:szCs w:val="25"/>
          <w:lang w:val="ru-RU"/>
        </w:rPr>
        <w:t>у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="00512F0B">
        <w:rPr>
          <w:rFonts w:ascii="Times New Roman" w:hAnsi="Times New Roman"/>
          <w:sz w:val="25"/>
          <w:szCs w:val="25"/>
          <w:lang w:val="ru-RU"/>
        </w:rPr>
        <w:t xml:space="preserve"> исполнение расходов произведено на 99%. </w:t>
      </w:r>
    </w:p>
    <w:p w:rsidR="00E956E1" w:rsidRPr="000675E6" w:rsidRDefault="00512F0B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>
        <w:rPr>
          <w:rFonts w:ascii="Times New Roman" w:hAnsi="Times New Roman"/>
          <w:sz w:val="25"/>
          <w:szCs w:val="25"/>
          <w:lang w:val="ru-RU"/>
        </w:rPr>
        <w:t xml:space="preserve">По подразделу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B45AF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147,1</w:t>
      </w:r>
      <w:r w:rsidR="0014283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>
        <w:rPr>
          <w:rFonts w:ascii="Times New Roman" w:hAnsi="Times New Roman"/>
          <w:i/>
          <w:sz w:val="25"/>
          <w:szCs w:val="25"/>
          <w:lang w:val="ru-RU"/>
        </w:rPr>
        <w:t>экономия по ФОТ за счет больничных, некорректно распределен по кварталам в 2022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году</w:t>
      </w:r>
      <w:r>
        <w:rPr>
          <w:rFonts w:ascii="Times New Roman" w:hAnsi="Times New Roman"/>
          <w:i/>
          <w:sz w:val="25"/>
          <w:szCs w:val="25"/>
          <w:lang w:val="ru-RU"/>
        </w:rPr>
        <w:t>,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сложилась экономия по компенсационным выплатам депутатам).</w:t>
      </w:r>
      <w:proofErr w:type="gramEnd"/>
    </w:p>
    <w:p w:rsidR="00E956E1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 xml:space="preserve">По </w:t>
      </w:r>
      <w:r w:rsidR="00913637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B1683">
        <w:rPr>
          <w:rFonts w:ascii="Times New Roman" w:hAnsi="Times New Roman"/>
          <w:sz w:val="25"/>
          <w:szCs w:val="25"/>
          <w:lang w:val="ru-RU"/>
        </w:rPr>
        <w:t>899,9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7B1683">
        <w:rPr>
          <w:rFonts w:ascii="Times New Roman" w:hAnsi="Times New Roman"/>
          <w:i/>
          <w:sz w:val="25"/>
          <w:szCs w:val="25"/>
          <w:lang w:val="ru-RU"/>
        </w:rPr>
        <w:t xml:space="preserve">экономия фонда оплаты труда за счет больничных листов,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не состоялось плановое повышение квалификации муниципальных служащих в отчетном периоде; экономия средств </w:t>
      </w:r>
      <w:r w:rsidR="007B1683">
        <w:rPr>
          <w:rFonts w:ascii="Times New Roman" w:hAnsi="Times New Roman"/>
          <w:i/>
          <w:sz w:val="25"/>
          <w:szCs w:val="25"/>
          <w:lang w:val="ru-RU"/>
        </w:rPr>
        <w:t>по представительским мероприятиям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;  несвоевременное представление </w:t>
      </w:r>
      <w:r w:rsidR="007B1683">
        <w:rPr>
          <w:rFonts w:ascii="Times New Roman" w:hAnsi="Times New Roman"/>
          <w:i/>
          <w:sz w:val="25"/>
          <w:szCs w:val="25"/>
          <w:lang w:val="ru-RU"/>
        </w:rPr>
        <w:t xml:space="preserve">поставщиками услуг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первичных учетных  документов (услуги связи, электроэнергия)</w:t>
      </w:r>
      <w:r w:rsidR="000675E6" w:rsidRPr="000675E6">
        <w:rPr>
          <w:rFonts w:ascii="Times New Roman" w:hAnsi="Times New Roman"/>
          <w:i/>
          <w:sz w:val="25"/>
          <w:szCs w:val="25"/>
          <w:lang w:val="ru-RU"/>
        </w:rPr>
        <w:t>; др.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E956E1" w:rsidRPr="000675E6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ся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общий остаток лимитов в размере </w:t>
      </w:r>
      <w:r w:rsidR="007B1683">
        <w:rPr>
          <w:rFonts w:ascii="Times New Roman" w:hAnsi="Times New Roman"/>
          <w:sz w:val="25"/>
          <w:szCs w:val="25"/>
          <w:lang w:val="ru-RU"/>
        </w:rPr>
        <w:t>713,9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(так же не состоялось плановое повышение квалификации муниципальных служащих в отчетном периоде;  несвоевременное представление  первичных учетных  документов (услуги связи, электроэнергия)</w:t>
      </w:r>
      <w:r w:rsidR="009F0CA1" w:rsidRPr="000675E6">
        <w:rPr>
          <w:rFonts w:ascii="Times New Roman" w:hAnsi="Times New Roman"/>
          <w:i/>
          <w:sz w:val="25"/>
          <w:szCs w:val="25"/>
          <w:lang w:val="ru-RU"/>
        </w:rPr>
        <w:t xml:space="preserve">; экономия </w:t>
      </w:r>
      <w:r w:rsidR="007B1683">
        <w:rPr>
          <w:rFonts w:ascii="Times New Roman" w:hAnsi="Times New Roman"/>
          <w:i/>
          <w:sz w:val="25"/>
          <w:szCs w:val="25"/>
          <w:lang w:val="ru-RU"/>
        </w:rPr>
        <w:t>по оплате труда за счет больничных листов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  <w:proofErr w:type="gramEnd"/>
    </w:p>
    <w:p w:rsidR="000A4C0B" w:rsidRPr="000675E6" w:rsidRDefault="00DE0485" w:rsidP="00E956E1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0675E6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>по состоянию на  01.04.20</w:t>
      </w:r>
      <w:r w:rsidR="009F0CA1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611D9">
        <w:rPr>
          <w:rFonts w:ascii="Times New Roman" w:hAnsi="Times New Roman"/>
          <w:sz w:val="25"/>
          <w:szCs w:val="25"/>
          <w:lang w:val="ru-RU"/>
        </w:rPr>
        <w:t>2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0675E6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512F0B">
        <w:rPr>
          <w:rFonts w:ascii="Times New Roman" w:hAnsi="Times New Roman"/>
          <w:sz w:val="25"/>
          <w:szCs w:val="25"/>
          <w:lang w:val="ru-RU"/>
        </w:rPr>
        <w:t>858,4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BF20AB" w:rsidRDefault="009F0CA1" w:rsidP="000A4C0B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Максимальный остаток лимитов 1 квартала 202</w:t>
      </w:r>
      <w:r w:rsidR="001611D9"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сложился по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="00F642A0">
        <w:rPr>
          <w:rFonts w:ascii="Times New Roman" w:hAnsi="Times New Roman"/>
          <w:sz w:val="25"/>
          <w:szCs w:val="25"/>
          <w:lang w:val="ru-RU"/>
        </w:rPr>
        <w:t>2 8</w:t>
      </w:r>
      <w:r w:rsidR="004A643C">
        <w:rPr>
          <w:rFonts w:ascii="Times New Roman" w:hAnsi="Times New Roman"/>
          <w:sz w:val="25"/>
          <w:szCs w:val="25"/>
          <w:lang w:val="ru-RU"/>
        </w:rPr>
        <w:t>3</w:t>
      </w:r>
      <w:r w:rsidR="00F642A0">
        <w:rPr>
          <w:rFonts w:ascii="Times New Roman" w:hAnsi="Times New Roman"/>
          <w:sz w:val="25"/>
          <w:szCs w:val="25"/>
          <w:lang w:val="ru-RU"/>
        </w:rPr>
        <w:t>7,5</w:t>
      </w:r>
      <w:r w:rsidR="00E93898">
        <w:rPr>
          <w:rFonts w:ascii="Times New Roman" w:hAnsi="Times New Roman"/>
          <w:sz w:val="25"/>
          <w:szCs w:val="25"/>
          <w:lang w:val="ru-RU"/>
        </w:rPr>
        <w:t xml:space="preserve"> тыс. руб., из них не исполнено</w:t>
      </w:r>
      <w:r w:rsidR="00BF20AB">
        <w:rPr>
          <w:rFonts w:ascii="Times New Roman" w:hAnsi="Times New Roman"/>
          <w:sz w:val="25"/>
          <w:szCs w:val="25"/>
          <w:lang w:val="ru-RU"/>
        </w:rPr>
        <w:t>:</w:t>
      </w:r>
    </w:p>
    <w:p w:rsidR="0086182D" w:rsidRDefault="00E93898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val="ru-RU"/>
        </w:rPr>
        <w:t>Комитетом земельно-имущественных отношений расходов на 1 168,3 тыс. руб. (</w:t>
      </w:r>
      <w:r w:rsidRPr="00E93898">
        <w:rPr>
          <w:rFonts w:ascii="Times New Roman" w:hAnsi="Times New Roman"/>
          <w:i/>
          <w:sz w:val="25"/>
          <w:szCs w:val="25"/>
          <w:lang w:val="ru-RU"/>
        </w:rPr>
        <w:t xml:space="preserve">не реализованы некоторые мероприятия по муниципальной программе по управлению земельными ресурсами и муниципального имущества в части образования земельных участков, расположенных на территории Октябрьского городского округа и содержания и обслуживания имущества муниципальной казны, муниципальные контракты заключены с оплатой в апреле месяце </w:t>
      </w:r>
      <w:proofErr w:type="spellStart"/>
      <w:r w:rsidRPr="00E93898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Pr="00E93898">
        <w:rPr>
          <w:rFonts w:ascii="Times New Roman" w:hAnsi="Times New Roman"/>
          <w:i/>
          <w:sz w:val="25"/>
          <w:szCs w:val="25"/>
          <w:lang w:val="ru-RU"/>
        </w:rPr>
        <w:t>., экономия по зарплате персонала Комитета за счет больничных листов</w:t>
      </w:r>
      <w:proofErr w:type="gramEnd"/>
      <w:r w:rsidRPr="00E93898">
        <w:rPr>
          <w:rFonts w:ascii="Times New Roman" w:hAnsi="Times New Roman"/>
          <w:i/>
          <w:sz w:val="25"/>
          <w:szCs w:val="25"/>
          <w:lang w:val="ru-RU"/>
        </w:rPr>
        <w:t>, текущая оплата счетов по расходам на содержание будет произведена в апреле);</w:t>
      </w:r>
    </w:p>
    <w:p w:rsidR="00BF20AB" w:rsidRDefault="00BF20AB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Управлением развития инфраструктуры не исполнено расходов на 594,5 тыс. руб</w:t>
      </w:r>
      <w:r w:rsidRPr="00BF20AB">
        <w:rPr>
          <w:rFonts w:ascii="Times New Roman" w:hAnsi="Times New Roman"/>
          <w:i/>
          <w:sz w:val="25"/>
          <w:szCs w:val="25"/>
          <w:lang w:val="ru-RU"/>
        </w:rPr>
        <w:t xml:space="preserve">. </w:t>
      </w:r>
      <w:r>
        <w:rPr>
          <w:rFonts w:ascii="Times New Roman" w:hAnsi="Times New Roman"/>
          <w:i/>
          <w:sz w:val="25"/>
          <w:szCs w:val="25"/>
          <w:lang w:val="ru-RU"/>
        </w:rPr>
        <w:t>(</w:t>
      </w:r>
      <w:r w:rsidRPr="00BF20AB">
        <w:rPr>
          <w:rFonts w:ascii="Times New Roman" w:hAnsi="Times New Roman"/>
          <w:i/>
          <w:sz w:val="25"/>
          <w:szCs w:val="25"/>
          <w:lang w:val="ru-RU"/>
        </w:rPr>
        <w:t>в части расходов на содержание аппарата Управления и МКУ «УКС»</w:t>
      </w:r>
      <w:r w:rsidR="007F31BA">
        <w:rPr>
          <w:rFonts w:ascii="Times New Roman" w:hAnsi="Times New Roman"/>
          <w:i/>
          <w:sz w:val="25"/>
          <w:szCs w:val="25"/>
          <w:lang w:val="ru-RU"/>
        </w:rPr>
        <w:t>);</w:t>
      </w:r>
    </w:p>
    <w:p w:rsidR="007F31BA" w:rsidRDefault="00677699" w:rsidP="0086182D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Финансовым управлением не исполнено 458,6 тыс. руб. </w:t>
      </w:r>
      <w:r w:rsidR="007F31BA" w:rsidRPr="007F31BA">
        <w:rPr>
          <w:rFonts w:ascii="Times New Roman" w:hAnsi="Times New Roman"/>
          <w:i/>
          <w:sz w:val="25"/>
          <w:szCs w:val="25"/>
          <w:lang w:val="ru-RU"/>
        </w:rPr>
        <w:t>(</w:t>
      </w:r>
      <w:r w:rsidRPr="007F31BA">
        <w:rPr>
          <w:rFonts w:ascii="Times New Roman" w:hAnsi="Times New Roman"/>
          <w:i/>
          <w:sz w:val="25"/>
          <w:szCs w:val="25"/>
          <w:lang w:val="ru-RU"/>
        </w:rPr>
        <w:t>на обеспечение деятельности МКУ «ЦБУ»</w:t>
      </w:r>
      <w:r w:rsidR="007F31BA">
        <w:rPr>
          <w:rFonts w:ascii="Times New Roman" w:hAnsi="Times New Roman"/>
          <w:i/>
          <w:sz w:val="25"/>
          <w:szCs w:val="25"/>
          <w:lang w:val="ru-RU"/>
        </w:rPr>
        <w:t>);</w:t>
      </w:r>
    </w:p>
    <w:p w:rsidR="007F31BA" w:rsidRPr="007F31BA" w:rsidRDefault="007F31BA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Администрацией Октябрьского городского округа не исполнено расходов на 360,0 тыс. руб. </w:t>
      </w:r>
      <w:r w:rsidRPr="007F31BA">
        <w:rPr>
          <w:rFonts w:ascii="Times New Roman" w:hAnsi="Times New Roman"/>
          <w:i/>
          <w:sz w:val="25"/>
          <w:szCs w:val="25"/>
          <w:lang w:val="ru-RU"/>
        </w:rPr>
        <w:t>(оказание материальной и финансовой поддержки социально ориентированным некоммерческим организациям в виду отсутствия порядка предоставления субсидий).</w:t>
      </w:r>
    </w:p>
    <w:p w:rsidR="0086182D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512F0B"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512F0B">
        <w:rPr>
          <w:rFonts w:ascii="Times New Roman" w:hAnsi="Times New Roman"/>
          <w:sz w:val="25"/>
          <w:szCs w:val="25"/>
          <w:lang w:val="ru-RU"/>
        </w:rPr>
        <w:t>16,7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512F0B" w:rsidRPr="000675E6" w:rsidRDefault="00512F0B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прошлого года расходы по данному разделу увеличились на 11 280,4 тыс. руб.</w:t>
      </w:r>
    </w:p>
    <w:p w:rsidR="0086182D" w:rsidRPr="000675E6" w:rsidRDefault="0086182D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03</w:t>
      </w:r>
      <w:r w:rsidR="004F0129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00 «Национальная безопасность и правоохранительная деятельность»</w:t>
      </w:r>
    </w:p>
    <w:p w:rsidR="00EC0497" w:rsidRPr="000675E6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0675E6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по разделу в сумме </w:t>
      </w:r>
      <w:r w:rsidR="00F642A0">
        <w:rPr>
          <w:rFonts w:ascii="Times New Roman" w:hAnsi="Times New Roman"/>
          <w:sz w:val="25"/>
          <w:szCs w:val="25"/>
          <w:lang w:val="ru-RU"/>
        </w:rPr>
        <w:t>9 246,2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F642A0">
        <w:rPr>
          <w:rFonts w:ascii="Times New Roman" w:hAnsi="Times New Roman"/>
          <w:sz w:val="25"/>
          <w:szCs w:val="25"/>
          <w:lang w:val="ru-RU"/>
        </w:rPr>
        <w:t>7 571,5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или  8</w:t>
      </w:r>
      <w:r w:rsidR="00F642A0">
        <w:rPr>
          <w:rFonts w:ascii="Times New Roman" w:hAnsi="Times New Roman"/>
          <w:sz w:val="25"/>
          <w:szCs w:val="25"/>
          <w:lang w:val="ru-RU"/>
        </w:rPr>
        <w:t>1,9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 от плана.</w:t>
      </w:r>
    </w:p>
    <w:p w:rsidR="00EC0497" w:rsidRPr="000675E6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>Остаток лимитов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дств в д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анной сфере расходов составил на отчетную дату в целом 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642A0">
        <w:rPr>
          <w:rFonts w:ascii="Times New Roman" w:hAnsi="Times New Roman"/>
          <w:sz w:val="25"/>
          <w:szCs w:val="25"/>
          <w:lang w:val="ru-RU"/>
        </w:rPr>
        <w:t>1 674,7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9F3D75" w:rsidRPr="000675E6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стались невостребованными в первом квартале</w:t>
      </w:r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5E5576" w:rsidRPr="000675E6">
        <w:rPr>
          <w:rFonts w:ascii="Times New Roman" w:hAnsi="Times New Roman"/>
          <w:sz w:val="25"/>
          <w:szCs w:val="25"/>
          <w:lang w:val="ru-RU"/>
        </w:rPr>
        <w:t>т.г</w:t>
      </w:r>
      <w:proofErr w:type="spellEnd"/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лимиты расходов на предупреждение и ликвидацию ЧС</w:t>
      </w:r>
      <w:r w:rsidR="00C51259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C51259" w:rsidRPr="000675E6">
        <w:rPr>
          <w:rFonts w:ascii="Times New Roman" w:hAnsi="Times New Roman"/>
          <w:i/>
          <w:sz w:val="25"/>
          <w:szCs w:val="25"/>
          <w:lang w:val="ru-RU"/>
        </w:rPr>
        <w:t>(отсутствие угрозы ЧС, необходимости предупреждения ЧС)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, </w:t>
      </w:r>
    </w:p>
    <w:p w:rsidR="003D5D32" w:rsidRPr="000675E6" w:rsidRDefault="003D5D32" w:rsidP="003D5D3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 (</w:t>
      </w:r>
      <w:r w:rsidR="00F642A0" w:rsidRPr="00F642A0">
        <w:rPr>
          <w:rFonts w:ascii="Times New Roman" w:hAnsi="Times New Roman"/>
          <w:i/>
          <w:sz w:val="25"/>
          <w:szCs w:val="25"/>
          <w:lang w:val="ru-RU"/>
        </w:rPr>
        <w:t>экономия по оплате труда за счет больничных листов, некорректное планирование по кварталам</w:t>
      </w:r>
      <w:r w:rsidR="00F642A0">
        <w:rPr>
          <w:rFonts w:ascii="Times New Roman" w:hAnsi="Times New Roman"/>
          <w:i/>
          <w:sz w:val="25"/>
          <w:szCs w:val="25"/>
          <w:lang w:val="ru-RU"/>
        </w:rPr>
        <w:t xml:space="preserve">, несвоевременное заключение договоров, экономия по договору ОСАГО, счета к оплате предъявлены в апреле </w:t>
      </w:r>
      <w:proofErr w:type="spellStart"/>
      <w:r w:rsidR="00F642A0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F642A0">
        <w:rPr>
          <w:rFonts w:ascii="Times New Roman" w:hAnsi="Times New Roman"/>
          <w:i/>
          <w:sz w:val="25"/>
          <w:szCs w:val="25"/>
          <w:lang w:val="ru-RU"/>
        </w:rPr>
        <w:t>.</w:t>
      </w:r>
      <w:r w:rsidR="001A7FE7">
        <w:rPr>
          <w:rFonts w:ascii="Times New Roman" w:hAnsi="Times New Roman"/>
          <w:i/>
          <w:sz w:val="25"/>
          <w:szCs w:val="25"/>
          <w:lang w:val="ru-RU"/>
        </w:rPr>
        <w:t>, отсутствие потребности в материальном стимулировании дружинников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)</w:t>
      </w:r>
      <w:r w:rsidR="001A7FE7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1A7FE7" w:rsidRPr="006C3938" w:rsidRDefault="001A7FE7" w:rsidP="001A7FE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 xml:space="preserve">на национальную безопасность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увеличились в целом </w:t>
      </w:r>
      <w:r>
        <w:rPr>
          <w:rFonts w:ascii="Times New Roman" w:hAnsi="Times New Roman"/>
          <w:sz w:val="25"/>
          <w:szCs w:val="25"/>
          <w:lang w:val="ru-RU"/>
        </w:rPr>
        <w:t>на 2 273,9 тыс. руб.</w:t>
      </w:r>
    </w:p>
    <w:p w:rsidR="00343FAD" w:rsidRPr="000675E6" w:rsidRDefault="00343FAD" w:rsidP="000675E6">
      <w:pPr>
        <w:tabs>
          <w:tab w:val="left" w:pos="3656"/>
        </w:tabs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Default="009F3D75" w:rsidP="009F3D75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343FAD" w:rsidRPr="00343FAD" w:rsidRDefault="00343FAD" w:rsidP="009F3D75">
      <w:pPr>
        <w:ind w:firstLine="709"/>
        <w:jc w:val="center"/>
        <w:rPr>
          <w:rFonts w:ascii="Times New Roman" w:hAnsi="Times New Roman"/>
          <w:i/>
          <w:sz w:val="25"/>
          <w:szCs w:val="25"/>
          <w:lang w:val="ru-RU"/>
        </w:rPr>
      </w:pPr>
    </w:p>
    <w:p w:rsidR="009D0B2A" w:rsidRPr="000675E6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</w:t>
      </w:r>
      <w:r w:rsidR="002E6DC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 xml:space="preserve">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0675E6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по разделу в целом в 1 квартале 20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611D9"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642A0">
        <w:rPr>
          <w:rFonts w:ascii="Times New Roman" w:hAnsi="Times New Roman"/>
          <w:sz w:val="25"/>
          <w:szCs w:val="25"/>
          <w:lang w:val="ru-RU"/>
        </w:rPr>
        <w:t>14 219,5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1A7FE7">
        <w:rPr>
          <w:rFonts w:ascii="Times New Roman" w:hAnsi="Times New Roman"/>
          <w:sz w:val="25"/>
          <w:szCs w:val="25"/>
          <w:lang w:val="ru-RU"/>
        </w:rPr>
        <w:t>1 804,0</w:t>
      </w:r>
      <w:r w:rsidR="00DC6E7D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выполнение плана на </w:t>
      </w:r>
      <w:r w:rsidR="001A7FE7">
        <w:rPr>
          <w:rFonts w:ascii="Times New Roman" w:hAnsi="Times New Roman"/>
          <w:sz w:val="25"/>
          <w:szCs w:val="25"/>
          <w:lang w:val="ru-RU"/>
        </w:rPr>
        <w:t>88,7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%).</w:t>
      </w:r>
    </w:p>
    <w:p w:rsidR="008C20B8" w:rsidRPr="000675E6" w:rsidRDefault="00166B49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Из них не </w:t>
      </w:r>
      <w:r w:rsidR="008C20B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="008C20B8" w:rsidRPr="000675E6">
        <w:rPr>
          <w:rFonts w:ascii="Times New Roman" w:hAnsi="Times New Roman"/>
          <w:sz w:val="25"/>
          <w:szCs w:val="25"/>
          <w:lang w:val="ru-RU"/>
        </w:rPr>
        <w:t xml:space="preserve"> в сфере дорожного хозяйства</w:t>
      </w:r>
      <w:r w:rsidR="00BC1599" w:rsidRPr="000675E6">
        <w:rPr>
          <w:rFonts w:ascii="Times New Roman" w:hAnsi="Times New Roman"/>
          <w:sz w:val="25"/>
          <w:szCs w:val="25"/>
          <w:lang w:val="ru-RU"/>
        </w:rPr>
        <w:t xml:space="preserve">  (040</w:t>
      </w:r>
      <w:r w:rsidR="001A7FE7">
        <w:rPr>
          <w:rFonts w:ascii="Times New Roman" w:hAnsi="Times New Roman"/>
          <w:sz w:val="25"/>
          <w:szCs w:val="25"/>
          <w:lang w:val="ru-RU"/>
        </w:rPr>
        <w:t>9</w:t>
      </w:r>
      <w:r w:rsidR="00BC1599" w:rsidRPr="000675E6">
        <w:rPr>
          <w:rFonts w:ascii="Times New Roman" w:hAnsi="Times New Roman"/>
          <w:sz w:val="25"/>
          <w:szCs w:val="25"/>
          <w:lang w:val="ru-RU"/>
        </w:rPr>
        <w:t xml:space="preserve"> «Дорожное хозяйство»)</w:t>
      </w:r>
      <w:r w:rsidR="001A7FE7">
        <w:rPr>
          <w:rFonts w:ascii="Times New Roman" w:hAnsi="Times New Roman"/>
          <w:sz w:val="25"/>
          <w:szCs w:val="25"/>
          <w:lang w:val="ru-RU"/>
        </w:rPr>
        <w:t xml:space="preserve"> – </w:t>
      </w:r>
      <w:r>
        <w:rPr>
          <w:rFonts w:ascii="Times New Roman" w:hAnsi="Times New Roman"/>
          <w:sz w:val="25"/>
          <w:szCs w:val="25"/>
          <w:lang w:val="ru-RU"/>
        </w:rPr>
        <w:t>в сумме 1 664,7 тыс. руб., не приняты работы по ремонту дорог по причине отсутствия краевых средств.</w:t>
      </w:r>
    </w:p>
    <w:p w:rsidR="009F3D75" w:rsidRPr="000675E6" w:rsidRDefault="00166B49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Максимально использованы в отчетном периоде бюджетные ассигнования </w:t>
      </w:r>
      <w:r w:rsidR="008C20B8" w:rsidRPr="000675E6">
        <w:rPr>
          <w:rFonts w:ascii="Times New Roman" w:hAnsi="Times New Roman"/>
          <w:sz w:val="25"/>
          <w:szCs w:val="25"/>
          <w:lang w:val="ru-RU"/>
        </w:rPr>
        <w:t xml:space="preserve">  по подразделу расходов 0408 «Транспорт»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- </w:t>
      </w:r>
      <w:r>
        <w:rPr>
          <w:rFonts w:ascii="Times New Roman" w:hAnsi="Times New Roman"/>
          <w:sz w:val="25"/>
          <w:szCs w:val="25"/>
          <w:lang w:val="ru-RU"/>
        </w:rPr>
        <w:t>3 026,7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proofErr w:type="gramStart"/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 xml:space="preserve">( </w:t>
      </w:r>
      <w:proofErr w:type="gramEnd"/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>муниципальный контракт на осуществление  пассажирских перевозок  автомобильным транспортом общего пользов</w:t>
      </w:r>
      <w:r>
        <w:rPr>
          <w:rFonts w:ascii="Times New Roman" w:hAnsi="Times New Roman"/>
          <w:i/>
          <w:sz w:val="25"/>
          <w:szCs w:val="25"/>
          <w:lang w:val="ru-RU"/>
        </w:rPr>
        <w:t>ания по муниципальным маршрутам,</w:t>
      </w:r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 xml:space="preserve">  субсидия  МУП «Авт</w:t>
      </w:r>
      <w:r>
        <w:rPr>
          <w:rFonts w:ascii="Times New Roman" w:hAnsi="Times New Roman"/>
          <w:i/>
          <w:sz w:val="25"/>
          <w:szCs w:val="25"/>
          <w:lang w:val="ru-RU"/>
        </w:rPr>
        <w:t>отранспортник» за 1 квартал 2022</w:t>
      </w:r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 xml:space="preserve"> года предоставлена</w:t>
      </w:r>
      <w:r>
        <w:rPr>
          <w:rFonts w:ascii="Times New Roman" w:hAnsi="Times New Roman"/>
          <w:i/>
          <w:sz w:val="25"/>
          <w:szCs w:val="25"/>
          <w:lang w:val="ru-RU"/>
        </w:rPr>
        <w:t xml:space="preserve"> на 100,0%</w:t>
      </w:r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36BC4" w:rsidRPr="000675E6" w:rsidRDefault="00927A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иным направлениям расходов в сфере национальной экономики (</w:t>
      </w:r>
      <w:r w:rsidR="00166B49">
        <w:rPr>
          <w:rFonts w:ascii="Times New Roman" w:hAnsi="Times New Roman"/>
          <w:sz w:val="25"/>
          <w:szCs w:val="25"/>
          <w:lang w:val="ru-RU"/>
        </w:rPr>
        <w:t xml:space="preserve">содержание управления </w:t>
      </w:r>
      <w:r w:rsidRPr="000675E6">
        <w:rPr>
          <w:rFonts w:ascii="Times New Roman" w:hAnsi="Times New Roman"/>
          <w:sz w:val="25"/>
          <w:szCs w:val="25"/>
          <w:lang w:val="ru-RU"/>
        </w:rPr>
        <w:t>сельско</w:t>
      </w:r>
      <w:r w:rsidR="00166B49">
        <w:rPr>
          <w:rFonts w:ascii="Times New Roman" w:hAnsi="Times New Roman"/>
          <w:sz w:val="25"/>
          <w:szCs w:val="25"/>
          <w:lang w:val="ru-RU"/>
        </w:rPr>
        <w:t>го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хозяйств</w:t>
      </w:r>
      <w:r w:rsidR="00166B49">
        <w:rPr>
          <w:rFonts w:ascii="Times New Roman" w:hAnsi="Times New Roman"/>
          <w:sz w:val="25"/>
          <w:szCs w:val="25"/>
          <w:lang w:val="ru-RU"/>
        </w:rPr>
        <w:t>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)  расходы  в отчетном периоде осуществлялись в соответствии с плановыми назначениями либо с незначительными отклонениями (общий остаток лимитов составил </w:t>
      </w:r>
      <w:r w:rsidR="00166B49">
        <w:rPr>
          <w:rFonts w:ascii="Times New Roman" w:hAnsi="Times New Roman"/>
          <w:sz w:val="25"/>
          <w:szCs w:val="25"/>
          <w:lang w:val="ru-RU"/>
        </w:rPr>
        <w:t>139,2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руб.)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D36BC4" w:rsidRPr="000675E6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квартал 20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611D9"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727438">
        <w:rPr>
          <w:rFonts w:ascii="Times New Roman" w:hAnsi="Times New Roman"/>
          <w:sz w:val="25"/>
          <w:szCs w:val="25"/>
          <w:lang w:val="ru-RU"/>
        </w:rPr>
        <w:t xml:space="preserve">6,7 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%.</w:t>
      </w:r>
    </w:p>
    <w:p w:rsidR="00727438" w:rsidRPr="006C3938" w:rsidRDefault="00727438" w:rsidP="0072743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 xml:space="preserve">на национальную экономику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увеличились в целом </w:t>
      </w:r>
      <w:r>
        <w:rPr>
          <w:rFonts w:ascii="Times New Roman" w:hAnsi="Times New Roman"/>
          <w:sz w:val="25"/>
          <w:szCs w:val="25"/>
          <w:lang w:val="ru-RU"/>
        </w:rPr>
        <w:t>на 2 128,3 тыс. руб.</w:t>
      </w:r>
    </w:p>
    <w:p w:rsidR="00727438" w:rsidRPr="000675E6" w:rsidRDefault="00727438" w:rsidP="00727438">
      <w:pPr>
        <w:tabs>
          <w:tab w:val="left" w:pos="3656"/>
        </w:tabs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343FAD" w:rsidRPr="000675E6" w:rsidRDefault="00343FAD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DD0B8C" w:rsidRPr="000675E6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727438">
        <w:rPr>
          <w:rFonts w:ascii="Times New Roman" w:hAnsi="Times New Roman"/>
          <w:sz w:val="25"/>
          <w:szCs w:val="25"/>
          <w:lang w:val="ru-RU"/>
        </w:rPr>
        <w:t>43 349,7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727438">
        <w:rPr>
          <w:rFonts w:ascii="Times New Roman" w:hAnsi="Times New Roman"/>
          <w:sz w:val="25"/>
          <w:szCs w:val="25"/>
          <w:lang w:val="ru-RU"/>
        </w:rPr>
        <w:t>11 883,0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>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263E86">
        <w:rPr>
          <w:rFonts w:ascii="Times New Roman" w:hAnsi="Times New Roman"/>
          <w:sz w:val="25"/>
          <w:szCs w:val="25"/>
          <w:lang w:val="ru-RU"/>
        </w:rPr>
        <w:t>27,4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5A0598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>самый низкий показатель в разрезе разделов расходов в отчетном периоде).</w:t>
      </w:r>
    </w:p>
    <w:p w:rsidR="006C1063" w:rsidRPr="000675E6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 xml:space="preserve">Остаток </w:t>
      </w:r>
      <w:r w:rsidR="005A0598" w:rsidRPr="000675E6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в сфере ЖКХ по состоянию на 01.04.202</w:t>
      </w:r>
      <w:r w:rsidR="00263E86"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г. составил </w:t>
      </w:r>
      <w:r w:rsidR="00263E86">
        <w:rPr>
          <w:rFonts w:ascii="Times New Roman" w:hAnsi="Times New Roman"/>
          <w:sz w:val="25"/>
          <w:szCs w:val="25"/>
          <w:lang w:val="ru-RU"/>
        </w:rPr>
        <w:t>31 466,7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B82DAE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</w:t>
      </w:r>
      <w:r w:rsidR="00B82DAE">
        <w:rPr>
          <w:rFonts w:ascii="Times New Roman" w:hAnsi="Times New Roman"/>
          <w:sz w:val="25"/>
          <w:szCs w:val="25"/>
          <w:lang w:val="ru-RU"/>
        </w:rPr>
        <w:t>14 728,8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в рамках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обеспечения устойчивого сокращения непригодного для проживания жилого фонда </w:t>
      </w:r>
      <w:r w:rsidR="008F58BC">
        <w:rPr>
          <w:rFonts w:ascii="Times New Roman" w:hAnsi="Times New Roman"/>
          <w:i/>
          <w:sz w:val="25"/>
          <w:szCs w:val="25"/>
          <w:lang w:val="ru-RU"/>
        </w:rPr>
        <w:t>муниципальная адресная программа по переселению граждан из аварийного жилищного фонда на территории Октябрьского городского округа Пермского края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F58BC">
        <w:rPr>
          <w:rFonts w:ascii="Times New Roman" w:hAnsi="Times New Roman"/>
          <w:i/>
          <w:sz w:val="25"/>
          <w:szCs w:val="25"/>
          <w:lang w:val="ru-RU"/>
        </w:rPr>
        <w:t xml:space="preserve"> утверждена постановлением Администрации Октябрьского городского округа 28.03.2022 г. № 270-266-01-05);</w:t>
      </w:r>
    </w:p>
    <w:p w:rsidR="00463145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-в сфере коммунального хозяйства  общий остаток неиспользов</w:t>
      </w:r>
      <w:r w:rsidR="008F58BC">
        <w:rPr>
          <w:rFonts w:ascii="Times New Roman" w:hAnsi="Times New Roman"/>
          <w:sz w:val="25"/>
          <w:szCs w:val="25"/>
          <w:lang w:val="ru-RU"/>
        </w:rPr>
        <w:t>анных лимитов составил в целом 12</w:t>
      </w:r>
      <w:r w:rsidR="00463145">
        <w:rPr>
          <w:rFonts w:ascii="Times New Roman" w:hAnsi="Times New Roman"/>
          <w:sz w:val="25"/>
          <w:szCs w:val="25"/>
          <w:lang w:val="ru-RU"/>
        </w:rPr>
        <w:t> 084,6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(не </w:t>
      </w:r>
      <w:r w:rsidR="008F58BC">
        <w:rPr>
          <w:rFonts w:ascii="Times New Roman" w:hAnsi="Times New Roman"/>
          <w:i/>
          <w:sz w:val="25"/>
          <w:szCs w:val="25"/>
          <w:lang w:val="ru-RU"/>
        </w:rPr>
        <w:t>исполнено возмещение недополученных доход</w:t>
      </w:r>
      <w:r w:rsidR="00B936E5">
        <w:rPr>
          <w:rFonts w:ascii="Times New Roman" w:hAnsi="Times New Roman"/>
          <w:i/>
          <w:sz w:val="25"/>
          <w:szCs w:val="25"/>
          <w:lang w:val="ru-RU"/>
        </w:rPr>
        <w:t>о</w:t>
      </w:r>
      <w:r w:rsidR="008F58BC">
        <w:rPr>
          <w:rFonts w:ascii="Times New Roman" w:hAnsi="Times New Roman"/>
          <w:i/>
          <w:sz w:val="25"/>
          <w:szCs w:val="25"/>
          <w:lang w:val="ru-RU"/>
        </w:rPr>
        <w:t>в организациям, предоставляющим услуги по теплоснабжению</w:t>
      </w:r>
      <w:r w:rsidR="00B936E5">
        <w:rPr>
          <w:rFonts w:ascii="Times New Roman" w:hAnsi="Times New Roman"/>
          <w:i/>
          <w:sz w:val="25"/>
          <w:szCs w:val="25"/>
          <w:lang w:val="ru-RU"/>
        </w:rPr>
        <w:t>, водоснабжению на сумму 4 000,0 тыс. руб., по причине отсутствия нормативного акта, не исполнено возмещение расходов организациям в рамках заключенных концессионных соглашений на сумму 3 000,0 тыс. руб. срок по соглашению до 01.07.2022г., не</w:t>
      </w:r>
      <w:proofErr w:type="gramEnd"/>
      <w:r w:rsidR="00B936E5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B936E5">
        <w:rPr>
          <w:rFonts w:ascii="Times New Roman" w:hAnsi="Times New Roman"/>
          <w:i/>
          <w:sz w:val="25"/>
          <w:szCs w:val="25"/>
          <w:lang w:val="ru-RU"/>
        </w:rPr>
        <w:t>исполнены расходы по разработке проектно-сметной документации по объекту «Строительство комплексных очистных сооружений в п. Сарс» на сумму 3 112,2 тыс. руб. по причине отсутствия документов на оплату, не исполнены расходы на содержание и техническое обслуживание объектов газоснабжения на сумму 384,7 тыс. руб.- оплата проводилась согласно выполненных работ, не произведена оплата за разработку ПСД по объекту «Строительство газопроводов высокого давления</w:t>
      </w:r>
      <w:r w:rsidR="00C51329">
        <w:rPr>
          <w:rFonts w:ascii="Times New Roman" w:hAnsi="Times New Roman"/>
          <w:i/>
          <w:sz w:val="25"/>
          <w:szCs w:val="25"/>
          <w:lang w:val="ru-RU"/>
        </w:rPr>
        <w:t xml:space="preserve"> и</w:t>
      </w:r>
      <w:proofErr w:type="gramEnd"/>
      <w:r w:rsidR="00C51329">
        <w:rPr>
          <w:rFonts w:ascii="Times New Roman" w:hAnsi="Times New Roman"/>
          <w:i/>
          <w:sz w:val="25"/>
          <w:szCs w:val="25"/>
          <w:lang w:val="ru-RU"/>
        </w:rPr>
        <w:t xml:space="preserve"> 2 ГРПШ в п. Сарс» на сумму 1 492,5 тыс. руб. – ПСД находится на государственной экспертизе</w:t>
      </w:r>
      <w:r w:rsidR="00C80EDB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</w:p>
    <w:p w:rsidR="00C51329" w:rsidRPr="00C51329" w:rsidRDefault="00C51329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C51329">
        <w:rPr>
          <w:rFonts w:ascii="Times New Roman" w:hAnsi="Times New Roman"/>
          <w:sz w:val="25"/>
          <w:szCs w:val="25"/>
          <w:lang w:val="ru-RU"/>
        </w:rPr>
        <w:t xml:space="preserve">- </w:t>
      </w:r>
      <w:r>
        <w:rPr>
          <w:rFonts w:ascii="Times New Roman" w:hAnsi="Times New Roman"/>
          <w:sz w:val="25"/>
          <w:szCs w:val="25"/>
          <w:lang w:val="ru-RU"/>
        </w:rPr>
        <w:t>в сфере благоустройства остаток неиспользованных средств составил 4 </w:t>
      </w:r>
      <w:r w:rsidR="001528FC">
        <w:rPr>
          <w:rFonts w:ascii="Times New Roman" w:hAnsi="Times New Roman"/>
          <w:sz w:val="25"/>
          <w:szCs w:val="25"/>
          <w:lang w:val="ru-RU"/>
        </w:rPr>
        <w:t>542</w:t>
      </w:r>
      <w:r>
        <w:rPr>
          <w:rFonts w:ascii="Times New Roman" w:hAnsi="Times New Roman"/>
          <w:sz w:val="25"/>
          <w:szCs w:val="25"/>
          <w:lang w:val="ru-RU"/>
        </w:rPr>
        <w:t>,7 тыс. руб.</w:t>
      </w:r>
      <w:proofErr w:type="gramStart"/>
      <w:r>
        <w:rPr>
          <w:rFonts w:ascii="Times New Roman" w:hAnsi="Times New Roman"/>
          <w:sz w:val="25"/>
          <w:szCs w:val="25"/>
          <w:lang w:val="ru-RU"/>
        </w:rPr>
        <w:t>,</w:t>
      </w:r>
      <w:r>
        <w:rPr>
          <w:rFonts w:ascii="Times New Roman" w:hAnsi="Times New Roman"/>
          <w:i/>
          <w:sz w:val="25"/>
          <w:szCs w:val="25"/>
          <w:lang w:val="ru-RU"/>
        </w:rPr>
        <w:t>(</w:t>
      </w:r>
      <w:proofErr w:type="gramEnd"/>
      <w:r w:rsidR="001528FC">
        <w:rPr>
          <w:rFonts w:ascii="Times New Roman" w:hAnsi="Times New Roman"/>
          <w:i/>
          <w:sz w:val="25"/>
          <w:szCs w:val="25"/>
          <w:lang w:val="ru-RU"/>
        </w:rPr>
        <w:t xml:space="preserve"> из них</w:t>
      </w:r>
      <w:r>
        <w:rPr>
          <w:rFonts w:ascii="Times New Roman" w:hAnsi="Times New Roman"/>
          <w:i/>
          <w:sz w:val="25"/>
          <w:szCs w:val="25"/>
          <w:lang w:val="ru-RU"/>
        </w:rPr>
        <w:t xml:space="preserve"> не оплачены работы на сумму 4 034,6 тыс. руб. в связи с несоответствием материалов условиям технического задания муниципального контракта</w:t>
      </w:r>
      <w:r w:rsidR="001528FC">
        <w:rPr>
          <w:rFonts w:ascii="Times New Roman" w:hAnsi="Times New Roman"/>
          <w:i/>
          <w:sz w:val="25"/>
          <w:szCs w:val="25"/>
          <w:lang w:val="ru-RU"/>
        </w:rPr>
        <w:t xml:space="preserve">, не поступили средства физических лиц на </w:t>
      </w:r>
      <w:proofErr w:type="spellStart"/>
      <w:r w:rsidR="001528FC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1528FC">
        <w:rPr>
          <w:rFonts w:ascii="Times New Roman" w:hAnsi="Times New Roman"/>
          <w:i/>
          <w:sz w:val="25"/>
          <w:szCs w:val="25"/>
          <w:lang w:val="ru-RU"/>
        </w:rPr>
        <w:t xml:space="preserve"> проектов инициативного бюджетирования на сумму 457,0 тыс. руб</w:t>
      </w:r>
      <w:r w:rsidR="007F31BA">
        <w:rPr>
          <w:rFonts w:ascii="Times New Roman" w:hAnsi="Times New Roman"/>
          <w:i/>
          <w:sz w:val="25"/>
          <w:szCs w:val="25"/>
          <w:lang w:val="ru-RU"/>
        </w:rPr>
        <w:t>.</w:t>
      </w:r>
      <w:r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1528FC" w:rsidRPr="000675E6" w:rsidRDefault="001528FC" w:rsidP="001528FC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структуре расходов бюджета округа за 1 квартал 202</w:t>
      </w:r>
      <w:r>
        <w:rPr>
          <w:rFonts w:ascii="Times New Roman" w:hAnsi="Times New Roman"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>
        <w:rPr>
          <w:rFonts w:ascii="Times New Roman" w:hAnsi="Times New Roman"/>
          <w:sz w:val="25"/>
          <w:szCs w:val="25"/>
          <w:lang w:val="ru-RU"/>
        </w:rPr>
        <w:t xml:space="preserve">5,6 </w:t>
      </w:r>
      <w:r w:rsidRPr="000675E6">
        <w:rPr>
          <w:rFonts w:ascii="Times New Roman" w:hAnsi="Times New Roman"/>
          <w:sz w:val="25"/>
          <w:szCs w:val="25"/>
          <w:lang w:val="ru-RU"/>
        </w:rPr>
        <w:t>%.</w:t>
      </w:r>
    </w:p>
    <w:p w:rsidR="001528FC" w:rsidRPr="006C3938" w:rsidRDefault="001528FC" w:rsidP="001528F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 xml:space="preserve">на жилищно-коммунальное хозяйство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увеличились в целом </w:t>
      </w:r>
      <w:r>
        <w:rPr>
          <w:rFonts w:ascii="Times New Roman" w:hAnsi="Times New Roman"/>
          <w:sz w:val="25"/>
          <w:szCs w:val="25"/>
          <w:lang w:val="ru-RU"/>
        </w:rPr>
        <w:t>на 9 028,3 тыс. руб.</w:t>
      </w:r>
    </w:p>
    <w:p w:rsidR="001528FC" w:rsidRPr="000675E6" w:rsidRDefault="001528FC" w:rsidP="001528FC">
      <w:pPr>
        <w:tabs>
          <w:tab w:val="left" w:pos="3656"/>
        </w:tabs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C51329" w:rsidRPr="000675E6" w:rsidRDefault="00C51329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</w:p>
    <w:p w:rsidR="001F00F7" w:rsidRPr="000675E6" w:rsidRDefault="001F00F7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0675E6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06</w:t>
      </w:r>
      <w:r w:rsidR="004F0129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00 «Охрана окружающей среды»</w:t>
      </w:r>
    </w:p>
    <w:p w:rsidR="001F00F7" w:rsidRPr="000675E6" w:rsidRDefault="001F00F7" w:rsidP="001528F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квартальных назначениях расходов в сумме </w:t>
      </w:r>
      <w:r w:rsidR="001528FC">
        <w:rPr>
          <w:rFonts w:ascii="Times New Roman" w:hAnsi="Times New Roman"/>
          <w:sz w:val="25"/>
          <w:szCs w:val="25"/>
          <w:lang w:val="ru-RU"/>
        </w:rPr>
        <w:t>7,0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1528FC">
        <w:rPr>
          <w:rFonts w:ascii="Times New Roman" w:hAnsi="Times New Roman"/>
          <w:sz w:val="25"/>
          <w:szCs w:val="25"/>
          <w:lang w:val="ru-RU"/>
        </w:rPr>
        <w:t>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1528FC">
        <w:rPr>
          <w:rFonts w:ascii="Times New Roman" w:hAnsi="Times New Roman"/>
          <w:sz w:val="25"/>
          <w:szCs w:val="25"/>
          <w:lang w:val="ru-RU"/>
        </w:rPr>
        <w:t>100,0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 от плана</w:t>
      </w:r>
      <w:r w:rsidR="001528FC">
        <w:rPr>
          <w:rFonts w:ascii="Times New Roman" w:hAnsi="Times New Roman"/>
          <w:sz w:val="25"/>
          <w:szCs w:val="25"/>
          <w:lang w:val="ru-RU"/>
        </w:rPr>
        <w:t xml:space="preserve"> на организацию и проведение мероприятий экологической направленности.</w:t>
      </w:r>
    </w:p>
    <w:p w:rsidR="00B04883" w:rsidRPr="000675E6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343FAD" w:rsidRPr="000675E6" w:rsidRDefault="00343FAD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594F8A" w:rsidRPr="000675E6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  <w:t xml:space="preserve">Расходы по разделу  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528FC">
        <w:rPr>
          <w:rFonts w:ascii="Times New Roman" w:hAnsi="Times New Roman"/>
          <w:sz w:val="25"/>
          <w:szCs w:val="25"/>
          <w:lang w:val="ru-RU"/>
        </w:rPr>
        <w:t>2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1528FC">
        <w:rPr>
          <w:rFonts w:ascii="Times New Roman" w:hAnsi="Times New Roman"/>
          <w:sz w:val="25"/>
          <w:szCs w:val="25"/>
          <w:lang w:val="ru-RU"/>
        </w:rPr>
        <w:t>111 362,0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0675E6">
        <w:rPr>
          <w:rFonts w:ascii="Times New Roman" w:hAnsi="Times New Roman"/>
          <w:sz w:val="25"/>
          <w:szCs w:val="25"/>
          <w:lang w:val="ru-RU"/>
        </w:rPr>
        <w:t>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28FC">
        <w:rPr>
          <w:rFonts w:ascii="Times New Roman" w:hAnsi="Times New Roman"/>
          <w:sz w:val="25"/>
          <w:szCs w:val="25"/>
          <w:lang w:val="ru-RU"/>
        </w:rPr>
        <w:t>157 646,9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28FC">
        <w:rPr>
          <w:rFonts w:ascii="Times New Roman" w:hAnsi="Times New Roman"/>
          <w:sz w:val="25"/>
          <w:szCs w:val="25"/>
          <w:lang w:val="ru-RU"/>
        </w:rPr>
        <w:t xml:space="preserve">70,6 </w:t>
      </w:r>
      <w:r w:rsidRPr="000675E6">
        <w:rPr>
          <w:rFonts w:ascii="Times New Roman" w:hAnsi="Times New Roman"/>
          <w:sz w:val="25"/>
          <w:szCs w:val="25"/>
          <w:lang w:val="ru-RU"/>
        </w:rPr>
        <w:t>%).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07778" w:rsidRPr="000675E6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0675E6">
        <w:rPr>
          <w:rFonts w:ascii="Times New Roman" w:hAnsi="Times New Roman"/>
          <w:sz w:val="25"/>
          <w:szCs w:val="25"/>
          <w:lang w:val="ru-RU"/>
        </w:rPr>
        <w:t>расходы на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>-дополнительного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0675E6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1528FC">
        <w:rPr>
          <w:rFonts w:ascii="Times New Roman" w:hAnsi="Times New Roman"/>
          <w:sz w:val="25"/>
          <w:szCs w:val="25"/>
          <w:lang w:val="ru-RU"/>
        </w:rPr>
        <w:t>46 284,9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, в т.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0675E6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="005A2F3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103DAB">
        <w:rPr>
          <w:rFonts w:ascii="Times New Roman" w:hAnsi="Times New Roman"/>
          <w:sz w:val="25"/>
          <w:szCs w:val="25"/>
          <w:lang w:val="ru-RU"/>
        </w:rPr>
        <w:t>19 763,0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103DAB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103DAB">
        <w:rPr>
          <w:rFonts w:ascii="Times New Roman" w:hAnsi="Times New Roman"/>
          <w:sz w:val="25"/>
          <w:szCs w:val="25"/>
          <w:lang w:val="ru-RU"/>
        </w:rPr>
        <w:t>26 107,3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912431" w:rsidRPr="000675E6" w:rsidRDefault="00103DAB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- по подразделу 0703 «Дополнительное образование детей» - 239,1 тыс. руб.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-по иным подразделам расходов бюджета – </w:t>
      </w:r>
      <w:r w:rsidR="00103DAB">
        <w:rPr>
          <w:rFonts w:ascii="Times New Roman" w:hAnsi="Times New Roman"/>
          <w:sz w:val="25"/>
          <w:szCs w:val="25"/>
          <w:lang w:val="ru-RU"/>
        </w:rPr>
        <w:t>175,5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912431" w:rsidRPr="000675E6" w:rsidRDefault="004F0129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Остались </w:t>
      </w:r>
      <w:r w:rsidR="00912431" w:rsidRPr="000675E6">
        <w:rPr>
          <w:rFonts w:ascii="Times New Roman" w:hAnsi="Times New Roman"/>
          <w:sz w:val="25"/>
          <w:szCs w:val="25"/>
          <w:lang w:val="ru-RU"/>
        </w:rPr>
        <w:t xml:space="preserve"> не</w:t>
      </w:r>
      <w:r>
        <w:rPr>
          <w:rFonts w:ascii="Times New Roman" w:hAnsi="Times New Roman"/>
          <w:sz w:val="25"/>
          <w:szCs w:val="25"/>
          <w:lang w:val="ru-RU"/>
        </w:rPr>
        <w:t>использованные лимиты</w:t>
      </w:r>
      <w:r w:rsidR="0091243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912431" w:rsidRPr="000675E6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="00912431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912431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</w:t>
      </w:r>
      <w:r w:rsidR="00103DAB">
        <w:rPr>
          <w:rFonts w:ascii="Times New Roman" w:hAnsi="Times New Roman"/>
          <w:sz w:val="25"/>
          <w:szCs w:val="25"/>
          <w:lang w:val="ru-RU"/>
        </w:rPr>
        <w:t>1 638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,0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21725D">
        <w:rPr>
          <w:rFonts w:ascii="Times New Roman" w:hAnsi="Times New Roman"/>
          <w:i/>
          <w:sz w:val="25"/>
          <w:szCs w:val="25"/>
          <w:lang w:val="ru-RU"/>
        </w:rPr>
        <w:t xml:space="preserve">наличие текущей кредиторской задолженности по коммунальным платежам, за </w:t>
      </w:r>
      <w:proofErr w:type="spellStart"/>
      <w:r w:rsidR="0021725D">
        <w:rPr>
          <w:rFonts w:ascii="Times New Roman" w:hAnsi="Times New Roman"/>
          <w:i/>
          <w:sz w:val="25"/>
          <w:szCs w:val="25"/>
          <w:lang w:val="ru-RU"/>
        </w:rPr>
        <w:t>гсм</w:t>
      </w:r>
      <w:proofErr w:type="spellEnd"/>
      <w:r w:rsidR="0021725D">
        <w:rPr>
          <w:rFonts w:ascii="Times New Roman" w:hAnsi="Times New Roman"/>
          <w:i/>
          <w:sz w:val="25"/>
          <w:szCs w:val="25"/>
          <w:lang w:val="ru-RU"/>
        </w:rPr>
        <w:t>, не осуществлены закупки дров,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 поступление первичных учетных документов от по</w:t>
      </w:r>
      <w:r w:rsidR="0021725D">
        <w:rPr>
          <w:rFonts w:ascii="Times New Roman" w:hAnsi="Times New Roman"/>
          <w:i/>
          <w:sz w:val="25"/>
          <w:szCs w:val="25"/>
          <w:lang w:val="ru-RU"/>
        </w:rPr>
        <w:t>ставщиков товаров, работ (услуг), с резким ростом цен приостановлены закупки основных средств);</w:t>
      </w:r>
    </w:p>
    <w:p w:rsidR="004F0129" w:rsidRPr="004F0129" w:rsidRDefault="004F0129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i/>
          <w:sz w:val="25"/>
          <w:szCs w:val="25"/>
          <w:lang w:val="ru-RU"/>
        </w:rPr>
        <w:t>-</w:t>
      </w:r>
      <w:r>
        <w:rPr>
          <w:rFonts w:ascii="Times New Roman" w:hAnsi="Times New Roman"/>
          <w:sz w:val="25"/>
          <w:szCs w:val="25"/>
          <w:lang w:val="ru-RU"/>
        </w:rPr>
        <w:t>в части единой субвенции на выполнение отдельных государственных</w:t>
      </w:r>
      <w:r w:rsidR="007F31BA">
        <w:rPr>
          <w:rFonts w:ascii="Times New Roman" w:hAnsi="Times New Roman"/>
          <w:sz w:val="25"/>
          <w:szCs w:val="25"/>
          <w:lang w:val="ru-RU"/>
        </w:rPr>
        <w:t xml:space="preserve"> полномочий – 17 650,3 тыс. руб. </w:t>
      </w:r>
      <w:r w:rsidR="007F31BA" w:rsidRPr="0021725D">
        <w:rPr>
          <w:rFonts w:ascii="Times New Roman" w:hAnsi="Times New Roman"/>
          <w:i/>
          <w:sz w:val="25"/>
          <w:szCs w:val="25"/>
          <w:lang w:val="ru-RU"/>
        </w:rPr>
        <w:t>(</w:t>
      </w:r>
      <w:r w:rsidR="0021725D" w:rsidRPr="0021725D">
        <w:rPr>
          <w:rFonts w:ascii="Times New Roman" w:hAnsi="Times New Roman"/>
          <w:i/>
          <w:sz w:val="25"/>
          <w:szCs w:val="25"/>
          <w:lang w:val="ru-RU"/>
        </w:rPr>
        <w:t xml:space="preserve">наличие текущей задолженности по </w:t>
      </w:r>
      <w:r w:rsidR="0021725D">
        <w:rPr>
          <w:rFonts w:ascii="Times New Roman" w:hAnsi="Times New Roman"/>
          <w:i/>
          <w:sz w:val="25"/>
          <w:szCs w:val="25"/>
          <w:lang w:val="ru-RU"/>
        </w:rPr>
        <w:t>оплате труда</w:t>
      </w:r>
      <w:r w:rsidR="0021725D" w:rsidRPr="0021725D">
        <w:rPr>
          <w:rFonts w:ascii="Times New Roman" w:hAnsi="Times New Roman"/>
          <w:i/>
          <w:sz w:val="25"/>
          <w:szCs w:val="25"/>
          <w:lang w:val="ru-RU"/>
        </w:rPr>
        <w:t>, некорректное  поквартальное планирование);</w:t>
      </w:r>
    </w:p>
    <w:p w:rsidR="006F1CB2" w:rsidRPr="000675E6" w:rsidRDefault="006F1CB2" w:rsidP="006F1CB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общего  образования – </w:t>
      </w:r>
      <w:r w:rsidR="004F0129">
        <w:rPr>
          <w:rFonts w:ascii="Times New Roman" w:hAnsi="Times New Roman"/>
          <w:sz w:val="25"/>
          <w:szCs w:val="25"/>
          <w:lang w:val="ru-RU"/>
        </w:rPr>
        <w:t>3 540,9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(причины те же, что и у дошкольных образовательных учреждений),</w:t>
      </w:r>
    </w:p>
    <w:p w:rsidR="00912431" w:rsidRPr="000675E6" w:rsidRDefault="006F1CB2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-реализацию государственных полномочий в сфере общего образования  - </w:t>
      </w:r>
      <w:r w:rsidR="004F0129">
        <w:rPr>
          <w:rFonts w:ascii="Times New Roman" w:hAnsi="Times New Roman"/>
          <w:sz w:val="25"/>
          <w:szCs w:val="25"/>
          <w:lang w:val="ru-RU"/>
        </w:rPr>
        <w:t>19 556,6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21725D">
        <w:rPr>
          <w:rFonts w:ascii="Times New Roman" w:hAnsi="Times New Roman"/>
          <w:i/>
          <w:sz w:val="25"/>
          <w:szCs w:val="25"/>
          <w:lang w:val="ru-RU"/>
        </w:rPr>
        <w:t xml:space="preserve">наличие текущей задолженности по оплате труда, в первом квартале доведены лимиты на </w:t>
      </w:r>
      <w:proofErr w:type="spellStart"/>
      <w:r w:rsidR="0021725D">
        <w:rPr>
          <w:rFonts w:ascii="Times New Roman" w:hAnsi="Times New Roman"/>
          <w:i/>
          <w:sz w:val="25"/>
          <w:szCs w:val="25"/>
          <w:lang w:val="ru-RU"/>
        </w:rPr>
        <w:t>малокомплектность</w:t>
      </w:r>
      <w:proofErr w:type="spellEnd"/>
      <w:r w:rsidR="0021725D">
        <w:rPr>
          <w:rFonts w:ascii="Times New Roman" w:hAnsi="Times New Roman"/>
          <w:i/>
          <w:sz w:val="25"/>
          <w:szCs w:val="25"/>
          <w:lang w:val="ru-RU"/>
        </w:rPr>
        <w:t>, расходы</w:t>
      </w:r>
      <w:r w:rsidR="0069591B">
        <w:rPr>
          <w:rFonts w:ascii="Times New Roman" w:hAnsi="Times New Roman"/>
          <w:i/>
          <w:sz w:val="25"/>
          <w:szCs w:val="25"/>
          <w:lang w:val="ru-RU"/>
        </w:rPr>
        <w:t xml:space="preserve"> будут производиться в течение года).</w:t>
      </w:r>
    </w:p>
    <w:p w:rsidR="006F1CB2" w:rsidRPr="000675E6" w:rsidRDefault="006F1CB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другим направлениям расходов в сфере образования  расходы произведены  в соответствии с планом либо с незначительными  отклонениями.</w:t>
      </w:r>
    </w:p>
    <w:p w:rsidR="001528FC" w:rsidRDefault="00AF5B35" w:rsidP="001528F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Как указано выше, в структуре расходов бюджета 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по разделу 0700 «Образование»  занимают наибольший удельный вес  -  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>5</w:t>
      </w:r>
      <w:r w:rsidR="001528FC">
        <w:rPr>
          <w:rFonts w:ascii="Times New Roman" w:hAnsi="Times New Roman"/>
          <w:sz w:val="25"/>
          <w:szCs w:val="25"/>
          <w:lang w:val="ru-RU"/>
        </w:rPr>
        <w:t xml:space="preserve">2,6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>.</w:t>
      </w:r>
      <w:r w:rsidR="001528FC" w:rsidRPr="001528FC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1528FC" w:rsidRPr="006C3938" w:rsidRDefault="001528FC" w:rsidP="001528F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 xml:space="preserve">на образование в целом 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увеличились  </w:t>
      </w:r>
      <w:r>
        <w:rPr>
          <w:rFonts w:ascii="Times New Roman" w:hAnsi="Times New Roman"/>
          <w:sz w:val="25"/>
          <w:szCs w:val="25"/>
          <w:lang w:val="ru-RU"/>
        </w:rPr>
        <w:t>на 20 610,8 тыс. руб.</w:t>
      </w:r>
    </w:p>
    <w:p w:rsidR="00AF5B35" w:rsidRPr="000675E6" w:rsidRDefault="00AF5B35" w:rsidP="00AF5B3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AF5B35" w:rsidRPr="000675E6" w:rsidRDefault="00AF5B35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343FAD" w:rsidRPr="000675E6" w:rsidRDefault="00343FAD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2D7FE6" w:rsidRPr="000675E6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ab/>
      </w:r>
      <w:r w:rsidRPr="000675E6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56157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F0129">
        <w:rPr>
          <w:rFonts w:ascii="Times New Roman" w:hAnsi="Times New Roman"/>
          <w:sz w:val="25"/>
          <w:szCs w:val="25"/>
          <w:lang w:val="ru-RU"/>
        </w:rPr>
        <w:t>14 980,5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4F0129">
        <w:rPr>
          <w:rFonts w:ascii="Times New Roman" w:hAnsi="Times New Roman"/>
          <w:sz w:val="25"/>
          <w:szCs w:val="25"/>
          <w:lang w:val="ru-RU"/>
        </w:rPr>
        <w:t>15 408,8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Исполнение  -</w:t>
      </w:r>
      <w:r w:rsidR="0031578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F0129">
        <w:rPr>
          <w:rFonts w:ascii="Times New Roman" w:hAnsi="Times New Roman"/>
          <w:sz w:val="25"/>
          <w:szCs w:val="25"/>
          <w:lang w:val="ru-RU"/>
        </w:rPr>
        <w:t>97,2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 (максимальное исполнение расходов в разрезе разделов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)</w:t>
      </w:r>
      <w:r w:rsidR="002D7FE6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0675E6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0675E6">
        <w:rPr>
          <w:rFonts w:ascii="Times New Roman" w:hAnsi="Times New Roman"/>
          <w:sz w:val="25"/>
          <w:szCs w:val="25"/>
          <w:lang w:val="ru-RU"/>
        </w:rPr>
        <w:t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2F5E9B" w:rsidRPr="000675E6" w:rsidRDefault="002D7FE6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1 квартала 202</w:t>
      </w:r>
      <w:r w:rsidR="004F0129">
        <w:rPr>
          <w:rFonts w:ascii="Times New Roman" w:hAnsi="Times New Roman"/>
          <w:sz w:val="25"/>
          <w:szCs w:val="25"/>
          <w:lang w:val="ru-RU"/>
        </w:rPr>
        <w:t>2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4F0129">
        <w:rPr>
          <w:rFonts w:ascii="Times New Roman" w:hAnsi="Times New Roman"/>
          <w:sz w:val="25"/>
          <w:szCs w:val="25"/>
          <w:lang w:val="ru-RU"/>
        </w:rPr>
        <w:t>428,3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>, в т.</w:t>
      </w:r>
      <w:r w:rsidR="0077157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ч.</w:t>
      </w:r>
      <w:r w:rsidR="002F5E9B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F5E9B" w:rsidRPr="000675E6" w:rsidRDefault="002F5E9B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 и развитие библиотечного дела составил </w:t>
      </w:r>
      <w:r w:rsidR="004469BE">
        <w:rPr>
          <w:rFonts w:ascii="Times New Roman" w:hAnsi="Times New Roman"/>
          <w:sz w:val="25"/>
          <w:szCs w:val="25"/>
          <w:lang w:val="ru-RU"/>
        </w:rPr>
        <w:t>319,3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9F1DC2" w:rsidRPr="000675E6">
        <w:rPr>
          <w:rFonts w:ascii="Times New Roman" w:hAnsi="Times New Roman"/>
          <w:i/>
          <w:sz w:val="25"/>
          <w:szCs w:val="25"/>
          <w:lang w:val="ru-RU"/>
        </w:rPr>
        <w:t>часть плановых расходов перенесена на 2 квартал 202</w:t>
      </w:r>
      <w:r w:rsidR="004469BE">
        <w:rPr>
          <w:rFonts w:ascii="Times New Roman" w:hAnsi="Times New Roman"/>
          <w:i/>
          <w:sz w:val="25"/>
          <w:szCs w:val="25"/>
          <w:lang w:val="ru-RU"/>
        </w:rPr>
        <w:t>2</w:t>
      </w:r>
      <w:r w:rsidR="009F1DC2" w:rsidRPr="000675E6">
        <w:rPr>
          <w:rFonts w:ascii="Times New Roman" w:hAnsi="Times New Roman"/>
          <w:i/>
          <w:sz w:val="25"/>
          <w:szCs w:val="25"/>
          <w:lang w:val="ru-RU"/>
        </w:rPr>
        <w:t xml:space="preserve"> г., сложилась </w:t>
      </w:r>
      <w:r w:rsidR="009F1DC2"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>экономия по оплате коммунальных услуг),</w:t>
      </w:r>
      <w:r w:rsidR="009F1DC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469BE" w:rsidRPr="004469BE" w:rsidRDefault="002F5E9B" w:rsidP="002F5E9B">
      <w:pPr>
        <w:pStyle w:val="afd"/>
        <w:ind w:firstLine="540"/>
        <w:jc w:val="both"/>
        <w:rPr>
          <w:rFonts w:ascii="Times New Roman" w:hAnsi="Times New Roman"/>
          <w:bCs/>
          <w:sz w:val="25"/>
          <w:szCs w:val="25"/>
          <w:lang w:val="ru-RU" w:eastAsia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-остаток лимитов на </w:t>
      </w:r>
      <w:proofErr w:type="gramStart"/>
      <w:r w:rsidR="004469BE">
        <w:rPr>
          <w:rFonts w:ascii="Times New Roman" w:hAnsi="Times New Roman"/>
          <w:sz w:val="25"/>
          <w:szCs w:val="25"/>
          <w:lang w:val="ru-RU"/>
        </w:rPr>
        <w:t>мероприятия, обеспечивающие реализацию муниципальной программы  составил</w:t>
      </w:r>
      <w:proofErr w:type="gramEnd"/>
      <w:r w:rsidR="004469BE">
        <w:rPr>
          <w:rFonts w:ascii="Times New Roman" w:hAnsi="Times New Roman"/>
          <w:sz w:val="25"/>
          <w:szCs w:val="25"/>
          <w:lang w:val="ru-RU"/>
        </w:rPr>
        <w:t xml:space="preserve"> 84,0 тыс. руб.</w:t>
      </w:r>
    </w:p>
    <w:p w:rsidR="004469BE" w:rsidRDefault="009C32C3" w:rsidP="004469B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квартал 20</w:t>
      </w:r>
      <w:r w:rsidR="004469BE">
        <w:rPr>
          <w:rFonts w:ascii="Times New Roman" w:hAnsi="Times New Roman"/>
          <w:sz w:val="25"/>
          <w:szCs w:val="25"/>
          <w:lang w:val="ru-RU"/>
        </w:rPr>
        <w:t>22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«Культура и кинематография»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целом составили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69BE">
        <w:rPr>
          <w:rFonts w:ascii="Times New Roman" w:hAnsi="Times New Roman"/>
          <w:sz w:val="25"/>
          <w:szCs w:val="25"/>
          <w:lang w:val="ru-RU"/>
        </w:rPr>
        <w:t xml:space="preserve">7,1 </w:t>
      </w:r>
      <w:r w:rsidRPr="000675E6">
        <w:rPr>
          <w:rFonts w:ascii="Times New Roman" w:hAnsi="Times New Roman"/>
          <w:sz w:val="25"/>
          <w:szCs w:val="25"/>
          <w:lang w:val="ru-RU"/>
        </w:rPr>
        <w:t>%.</w:t>
      </w:r>
      <w:r w:rsidR="004469BE" w:rsidRPr="004469BE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469BE" w:rsidRPr="006C3938" w:rsidRDefault="004469BE" w:rsidP="004469B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>на культуру в целом снизились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>
        <w:rPr>
          <w:rFonts w:ascii="Times New Roman" w:hAnsi="Times New Roman"/>
          <w:sz w:val="25"/>
          <w:szCs w:val="25"/>
          <w:lang w:val="ru-RU"/>
        </w:rPr>
        <w:t>на 586,5 тыс. руб.</w:t>
      </w:r>
    </w:p>
    <w:p w:rsidR="004469BE" w:rsidRPr="000675E6" w:rsidRDefault="004469BE" w:rsidP="004469BE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343FAD" w:rsidRPr="000675E6" w:rsidRDefault="00343FAD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в сумме </w:t>
      </w:r>
      <w:r w:rsidR="00BA5FD4">
        <w:rPr>
          <w:rFonts w:ascii="Times New Roman" w:hAnsi="Times New Roman"/>
          <w:sz w:val="25"/>
          <w:szCs w:val="25"/>
          <w:lang w:val="ru-RU"/>
        </w:rPr>
        <w:t>22 299,8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A5FD4">
        <w:rPr>
          <w:rFonts w:ascii="Times New Roman" w:hAnsi="Times New Roman"/>
          <w:sz w:val="25"/>
          <w:szCs w:val="25"/>
          <w:lang w:val="ru-RU"/>
        </w:rPr>
        <w:t>13 608,4</w:t>
      </w:r>
      <w:r w:rsidR="00E966D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 (</w:t>
      </w:r>
      <w:r w:rsidR="00822B8F" w:rsidRPr="000675E6">
        <w:rPr>
          <w:rFonts w:ascii="Times New Roman" w:hAnsi="Times New Roman"/>
          <w:sz w:val="25"/>
          <w:szCs w:val="25"/>
          <w:lang w:val="ru-RU"/>
        </w:rPr>
        <w:t>6</w:t>
      </w:r>
      <w:r w:rsidR="00BA5FD4">
        <w:rPr>
          <w:rFonts w:ascii="Times New Roman" w:hAnsi="Times New Roman"/>
          <w:sz w:val="25"/>
          <w:szCs w:val="25"/>
          <w:lang w:val="ru-RU"/>
        </w:rPr>
        <w:t>1,0</w:t>
      </w:r>
      <w:r w:rsidR="0014325A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0675E6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A5FD4">
        <w:rPr>
          <w:rFonts w:ascii="Times New Roman" w:hAnsi="Times New Roman"/>
          <w:sz w:val="25"/>
          <w:szCs w:val="25"/>
          <w:lang w:val="ru-RU"/>
        </w:rPr>
        <w:t>8 691,4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из них</w:t>
      </w:r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6E5611" w:rsidRPr="000675E6" w:rsidRDefault="009F3D75" w:rsidP="009F3D75">
      <w:pPr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A40F45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="00C80EDB">
        <w:rPr>
          <w:rFonts w:ascii="Times New Roman" w:hAnsi="Times New Roman"/>
          <w:sz w:val="25"/>
          <w:szCs w:val="25"/>
          <w:lang w:val="ru-RU"/>
        </w:rPr>
        <w:t>229,7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96E1A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BC62F8" w:rsidRPr="000675E6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0675E6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</w:t>
      </w:r>
      <w:r w:rsidR="00D36B00">
        <w:rPr>
          <w:rFonts w:ascii="Times New Roman" w:hAnsi="Times New Roman"/>
          <w:i/>
          <w:sz w:val="25"/>
          <w:szCs w:val="25"/>
          <w:lang w:val="ru-RU"/>
        </w:rPr>
        <w:t xml:space="preserve">, по акту проверки </w:t>
      </w:r>
      <w:proofErr w:type="spellStart"/>
      <w:r w:rsidR="00D36B00">
        <w:rPr>
          <w:rFonts w:ascii="Times New Roman" w:hAnsi="Times New Roman"/>
          <w:i/>
          <w:sz w:val="25"/>
          <w:szCs w:val="25"/>
          <w:lang w:val="ru-RU"/>
        </w:rPr>
        <w:t>финоргана</w:t>
      </w:r>
      <w:proofErr w:type="spellEnd"/>
      <w:r w:rsidR="00D36B00">
        <w:rPr>
          <w:rFonts w:ascii="Times New Roman" w:hAnsi="Times New Roman"/>
          <w:i/>
          <w:sz w:val="25"/>
          <w:szCs w:val="25"/>
          <w:lang w:val="ru-RU"/>
        </w:rPr>
        <w:t xml:space="preserve"> снижен размер пенсии за выслугу лет, уменьшилось количество получателей</w:t>
      </w:r>
      <w:r w:rsidR="00AB4940" w:rsidRPr="000675E6">
        <w:rPr>
          <w:rFonts w:ascii="Times New Roman" w:hAnsi="Times New Roman"/>
          <w:i/>
          <w:sz w:val="25"/>
          <w:szCs w:val="25"/>
          <w:lang w:val="ru-RU"/>
        </w:rPr>
        <w:t>)</w:t>
      </w:r>
      <w:r w:rsidR="006E5611" w:rsidRPr="000675E6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0675E6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B8532A">
        <w:rPr>
          <w:rFonts w:ascii="Times New Roman" w:hAnsi="Times New Roman"/>
          <w:sz w:val="25"/>
          <w:szCs w:val="25"/>
          <w:lang w:val="ru-RU" w:eastAsia="ru-RU" w:bidi="ar-SA"/>
        </w:rPr>
        <w:t>14</w:t>
      </w:r>
      <w:r w:rsidR="00D36B00">
        <w:rPr>
          <w:rFonts w:ascii="Times New Roman" w:hAnsi="Times New Roman"/>
          <w:sz w:val="25"/>
          <w:szCs w:val="25"/>
          <w:lang w:val="ru-RU" w:eastAsia="ru-RU" w:bidi="ar-SA"/>
        </w:rPr>
        <w:t>6</w:t>
      </w:r>
      <w:r w:rsidR="00B8532A">
        <w:rPr>
          <w:rFonts w:ascii="Times New Roman" w:hAnsi="Times New Roman"/>
          <w:sz w:val="25"/>
          <w:szCs w:val="25"/>
          <w:lang w:val="ru-RU" w:eastAsia="ru-RU" w:bidi="ar-SA"/>
        </w:rPr>
        <w:t>9,6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., в т.</w:t>
      </w:r>
      <w:r w:rsidR="00AB4940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ч.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83703F" w:rsidRPr="000675E6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</w:t>
      </w:r>
      <w:r w:rsidR="00B8532A">
        <w:rPr>
          <w:rFonts w:ascii="Times New Roman" w:hAnsi="Times New Roman"/>
          <w:sz w:val="25"/>
          <w:szCs w:val="25"/>
          <w:lang w:val="ru-RU" w:eastAsia="ru-RU" w:bidi="ar-SA"/>
        </w:rPr>
        <w:t> 016,1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- </w:t>
      </w:r>
      <w:r w:rsidR="006A2A9E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(остаток средств на поддержку учащихся и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з многодетных малоимущих семей и из малоимущих семей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5F7D8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сложилась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экономия за счет сокращения дней учебы в связи с карантином в учебных заведениях</w:t>
      </w:r>
      <w:r w:rsidR="006A2A9E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ие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др.; 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>остаток средств  на поддержку гражд</w:t>
      </w:r>
      <w:r w:rsidR="00B8532A">
        <w:rPr>
          <w:rFonts w:ascii="Times New Roman" w:hAnsi="Times New Roman"/>
          <w:sz w:val="25"/>
          <w:szCs w:val="25"/>
          <w:lang w:val="ru-RU" w:eastAsia="ru-RU" w:bidi="ar-SA"/>
        </w:rPr>
        <w:t>ан по оплате коммунальных услуг 245,6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несвоевременное представление</w:t>
      </w:r>
      <w:proofErr w:type="gramEnd"/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документов</w:t>
      </w:r>
      <w:r w:rsidR="00B8532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на </w:t>
      </w:r>
      <w:proofErr w:type="gramStart"/>
      <w:r w:rsidR="00B8532A">
        <w:rPr>
          <w:rFonts w:ascii="Times New Roman" w:hAnsi="Times New Roman"/>
          <w:i/>
          <w:sz w:val="25"/>
          <w:szCs w:val="25"/>
          <w:lang w:val="ru-RU" w:eastAsia="ru-RU" w:bidi="ar-SA"/>
        </w:rPr>
        <w:t>санаторно-курортное</w:t>
      </w:r>
      <w:proofErr w:type="gramEnd"/>
      <w:r w:rsidR="00B8532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147,8 тыс. руб. увеличилась стоимость путевок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>),</w:t>
      </w:r>
    </w:p>
    <w:p w:rsidR="007874A3" w:rsidRPr="000675E6" w:rsidRDefault="00187CD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="00FC052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E759B5">
        <w:rPr>
          <w:rFonts w:ascii="Times New Roman" w:hAnsi="Times New Roman"/>
          <w:sz w:val="25"/>
          <w:szCs w:val="25"/>
          <w:lang w:val="ru-RU" w:eastAsia="ru-RU" w:bidi="ar-SA"/>
        </w:rPr>
        <w:t>6</w:t>
      </w:r>
      <w:r w:rsidR="0047072B">
        <w:rPr>
          <w:rFonts w:ascii="Times New Roman" w:hAnsi="Times New Roman"/>
          <w:sz w:val="25"/>
          <w:szCs w:val="25"/>
          <w:lang w:val="ru-RU" w:eastAsia="ru-RU" w:bidi="ar-SA"/>
        </w:rPr>
        <w:t xml:space="preserve"> 909,4       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руб., </w:t>
      </w:r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</w:t>
      </w:r>
      <w:proofErr w:type="spellStart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т.ч</w:t>
      </w:r>
      <w:proofErr w:type="spellEnd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.:</w:t>
      </w:r>
    </w:p>
    <w:p w:rsidR="00187CD6" w:rsidRPr="000675E6" w:rsidRDefault="007874A3" w:rsidP="00D566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на приобретение жилых помещений детям-сиротам и детям, оставшимся без попечения родителей, не освоены в сумме </w:t>
      </w:r>
      <w:r w:rsidR="00463145">
        <w:rPr>
          <w:rFonts w:ascii="Times New Roman" w:hAnsi="Times New Roman"/>
          <w:sz w:val="25"/>
          <w:szCs w:val="25"/>
          <w:lang w:val="ru-RU" w:eastAsia="ru-RU" w:bidi="ar-SA"/>
        </w:rPr>
        <w:t>6 772,0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187CD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средства </w:t>
      </w:r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будут 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освоены </w:t>
      </w:r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в апреле</w:t>
      </w:r>
      <w:proofErr w:type="gramStart"/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.</w:t>
      </w:r>
      <w:proofErr w:type="gramEnd"/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г., заключены 5 контрактов на приобретение квартир на сумму 4 382,8 тыс. руб., сложилась экономия в результате аукционов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</w:p>
    <w:p w:rsidR="009F3D75" w:rsidRPr="000675E6" w:rsidRDefault="00187CD6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-средства на выплату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компенсации части родительской платы по дошкольн</w:t>
      </w:r>
      <w:r w:rsidR="000675E6" w:rsidRPr="000675E6">
        <w:rPr>
          <w:rFonts w:ascii="Times New Roman" w:hAnsi="Times New Roman"/>
          <w:sz w:val="25"/>
          <w:szCs w:val="25"/>
          <w:lang w:val="ru-RU" w:eastAsia="ru-RU" w:bidi="ar-SA"/>
        </w:rPr>
        <w:t>ым</w:t>
      </w:r>
      <w:r w:rsidR="004B221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организациям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не освоены 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сумме </w:t>
      </w:r>
      <w:r w:rsidR="00463145">
        <w:rPr>
          <w:rFonts w:ascii="Times New Roman" w:hAnsi="Times New Roman"/>
          <w:sz w:val="25"/>
          <w:szCs w:val="25"/>
          <w:lang w:val="ru-RU" w:eastAsia="ru-RU" w:bidi="ar-SA"/>
        </w:rPr>
        <w:t>137,4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>ыс. руб.</w:t>
      </w:r>
      <w:r w:rsidR="00F20682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A40F4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учреждения закрывались на карантин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в целом посещаемость учреждений ниже плановой</w:t>
      </w:r>
      <w:r w:rsidR="00B168C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D56649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</w:p>
    <w:p w:rsidR="00E931D8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по подразделу 1006 «Другие вопросы в области социальной политики» не использовано </w:t>
      </w:r>
      <w:r w:rsidR="009C410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сре</w:t>
      </w: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дств в с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умме</w:t>
      </w:r>
      <w:r w:rsidR="00463145">
        <w:rPr>
          <w:rFonts w:ascii="Times New Roman" w:hAnsi="Times New Roman"/>
          <w:sz w:val="25"/>
          <w:szCs w:val="25"/>
          <w:lang w:val="ru-RU" w:eastAsia="ru-RU" w:bidi="ar-SA"/>
        </w:rPr>
        <w:t xml:space="preserve"> 82,7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оплата по расходам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по содержанию жилых помещений специализированного жилищного фонда</w:t>
      </w:r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пройдет в апреле </w:t>
      </w:r>
      <w:proofErr w:type="spellStart"/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E759B5">
        <w:rPr>
          <w:rFonts w:ascii="Times New Roman" w:hAnsi="Times New Roman"/>
          <w:i/>
          <w:sz w:val="25"/>
          <w:szCs w:val="25"/>
          <w:lang w:val="ru-RU" w:eastAsia="ru-RU" w:bidi="ar-SA"/>
        </w:rPr>
        <w:t>.).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 </w:t>
      </w:r>
    </w:p>
    <w:p w:rsidR="00C80EDB" w:rsidRDefault="00C80EDB" w:rsidP="00C80EDB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структуре расходов бюджета Октябрьского городского округа  за 1 квартал 20</w:t>
      </w:r>
      <w:r>
        <w:rPr>
          <w:rFonts w:ascii="Times New Roman" w:hAnsi="Times New Roman"/>
          <w:sz w:val="25"/>
          <w:szCs w:val="25"/>
          <w:lang w:val="ru-RU"/>
        </w:rPr>
        <w:t>22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</w:t>
      </w:r>
      <w:r>
        <w:rPr>
          <w:rFonts w:ascii="Times New Roman" w:hAnsi="Times New Roman"/>
          <w:sz w:val="25"/>
          <w:szCs w:val="25"/>
          <w:lang w:val="ru-RU"/>
        </w:rPr>
        <w:t xml:space="preserve">этому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разделу 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 </w:t>
      </w:r>
      <w:r>
        <w:rPr>
          <w:rFonts w:ascii="Times New Roman" w:hAnsi="Times New Roman"/>
          <w:sz w:val="25"/>
          <w:szCs w:val="25"/>
          <w:lang w:val="ru-RU"/>
        </w:rPr>
        <w:t xml:space="preserve">6,4 </w:t>
      </w:r>
      <w:r w:rsidRPr="000675E6">
        <w:rPr>
          <w:rFonts w:ascii="Times New Roman" w:hAnsi="Times New Roman"/>
          <w:sz w:val="25"/>
          <w:szCs w:val="25"/>
          <w:lang w:val="ru-RU"/>
        </w:rPr>
        <w:t>%.</w:t>
      </w:r>
      <w:r w:rsidRPr="004469BE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C80EDB" w:rsidRPr="006C3938" w:rsidRDefault="00C80EDB" w:rsidP="00C80EDB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>на социальную политику в целом снизились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>
        <w:rPr>
          <w:rFonts w:ascii="Times New Roman" w:hAnsi="Times New Roman"/>
          <w:sz w:val="25"/>
          <w:szCs w:val="25"/>
          <w:lang w:val="ru-RU"/>
        </w:rPr>
        <w:t>на 450,1 тыс. руб.</w:t>
      </w:r>
    </w:p>
    <w:p w:rsidR="00C80EDB" w:rsidRPr="00C80EDB" w:rsidRDefault="00C80EDB" w:rsidP="002673B3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</w:p>
    <w:p w:rsidR="00392DD5" w:rsidRPr="000675E6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ab/>
      </w:r>
    </w:p>
    <w:p w:rsidR="009F3D75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343FAD" w:rsidRPr="000675E6" w:rsidRDefault="00343FAD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280C1C" w:rsidRPr="000675E6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0675E6">
        <w:rPr>
          <w:rFonts w:ascii="Times New Roman" w:hAnsi="Times New Roman"/>
          <w:sz w:val="25"/>
          <w:szCs w:val="25"/>
          <w:lang w:val="ru-RU"/>
        </w:rPr>
        <w:t>уются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0675E6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Общие расходы по разделу </w:t>
      </w:r>
      <w:r w:rsidR="0070401A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3F2667">
        <w:rPr>
          <w:rFonts w:ascii="Times New Roman" w:hAnsi="Times New Roman"/>
          <w:sz w:val="25"/>
          <w:szCs w:val="25"/>
          <w:lang w:val="ru-RU"/>
        </w:rPr>
        <w:t>2 596,9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3F2667">
        <w:rPr>
          <w:rFonts w:ascii="Times New Roman" w:hAnsi="Times New Roman"/>
          <w:sz w:val="25"/>
          <w:szCs w:val="25"/>
          <w:lang w:val="ru-RU"/>
        </w:rPr>
        <w:t>49,8</w:t>
      </w:r>
      <w:r w:rsidR="00280C1C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1 квартала </w:t>
      </w:r>
      <w:r w:rsidR="003F2667">
        <w:rPr>
          <w:rFonts w:ascii="Times New Roman" w:hAnsi="Times New Roman"/>
          <w:sz w:val="25"/>
          <w:szCs w:val="25"/>
          <w:lang w:val="ru-RU"/>
        </w:rPr>
        <w:t>2022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646FB9" w:rsidRPr="000675E6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средств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сумме  </w:t>
      </w:r>
      <w:r w:rsidR="003F2667">
        <w:rPr>
          <w:rFonts w:ascii="Times New Roman" w:hAnsi="Times New Roman"/>
          <w:sz w:val="25"/>
          <w:szCs w:val="25"/>
          <w:lang w:val="ru-RU"/>
        </w:rPr>
        <w:t>2 616,4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54690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в области массового спорта (ГРБС – Управление развития инфраструктуры,  ЖКХ и благоустройства администрации </w:t>
      </w:r>
      <w:r w:rsidR="003F2667">
        <w:rPr>
          <w:rFonts w:ascii="Times New Roman" w:hAnsi="Times New Roman"/>
          <w:sz w:val="25"/>
          <w:szCs w:val="25"/>
          <w:lang w:val="ru-RU"/>
        </w:rPr>
        <w:t>Октябрьского городского округа) на устройство спортивных площадок и оснащение объектов спортивным оборудованием и инвентарем для занятий физической культурой и спортом (ждали поступление краевых средств, в результате подтверждения потребности на 2022 год).</w:t>
      </w:r>
      <w:proofErr w:type="gramEnd"/>
    </w:p>
    <w:p w:rsidR="003F2667" w:rsidRDefault="00646FB9" w:rsidP="003F266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F2667" w:rsidRPr="000675E6">
        <w:rPr>
          <w:rFonts w:ascii="Times New Roman" w:hAnsi="Times New Roman"/>
          <w:sz w:val="25"/>
          <w:szCs w:val="25"/>
          <w:lang w:val="ru-RU"/>
        </w:rPr>
        <w:t>В структуре расходов бюджета Октябрьского городского округа  за 1 квартал 20</w:t>
      </w:r>
      <w:r w:rsidR="003F2667">
        <w:rPr>
          <w:rFonts w:ascii="Times New Roman" w:hAnsi="Times New Roman"/>
          <w:sz w:val="25"/>
          <w:szCs w:val="25"/>
          <w:lang w:val="ru-RU"/>
        </w:rPr>
        <w:t>22</w:t>
      </w:r>
      <w:r w:rsidR="003F2667"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</w:t>
      </w:r>
      <w:r w:rsidR="003F2667">
        <w:rPr>
          <w:rFonts w:ascii="Times New Roman" w:hAnsi="Times New Roman"/>
          <w:sz w:val="25"/>
          <w:szCs w:val="25"/>
          <w:lang w:val="ru-RU"/>
        </w:rPr>
        <w:t xml:space="preserve">этому </w:t>
      </w:r>
      <w:r w:rsidR="003F2667" w:rsidRPr="000675E6">
        <w:rPr>
          <w:rFonts w:ascii="Times New Roman" w:hAnsi="Times New Roman"/>
          <w:sz w:val="25"/>
          <w:szCs w:val="25"/>
          <w:lang w:val="ru-RU"/>
        </w:rPr>
        <w:t xml:space="preserve">разделу </w:t>
      </w:r>
      <w:r w:rsidR="003F266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F2667" w:rsidRPr="000675E6">
        <w:rPr>
          <w:rFonts w:ascii="Times New Roman" w:hAnsi="Times New Roman"/>
          <w:sz w:val="25"/>
          <w:szCs w:val="25"/>
          <w:lang w:val="ru-RU"/>
        </w:rPr>
        <w:t xml:space="preserve">составили  </w:t>
      </w:r>
      <w:r w:rsidR="003F2667">
        <w:rPr>
          <w:rFonts w:ascii="Times New Roman" w:hAnsi="Times New Roman"/>
          <w:sz w:val="25"/>
          <w:szCs w:val="25"/>
          <w:lang w:val="ru-RU"/>
        </w:rPr>
        <w:t xml:space="preserve">1,2 </w:t>
      </w:r>
      <w:r w:rsidR="003F2667" w:rsidRPr="000675E6">
        <w:rPr>
          <w:rFonts w:ascii="Times New Roman" w:hAnsi="Times New Roman"/>
          <w:sz w:val="25"/>
          <w:szCs w:val="25"/>
          <w:lang w:val="ru-RU"/>
        </w:rPr>
        <w:t>%.</w:t>
      </w:r>
      <w:r w:rsidR="003F2667" w:rsidRPr="004469BE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3F2667" w:rsidRPr="006C3938" w:rsidRDefault="003F2667" w:rsidP="003F266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6C3938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предшествующего 202</w:t>
      </w:r>
      <w:r>
        <w:rPr>
          <w:rFonts w:ascii="Times New Roman" w:hAnsi="Times New Roman"/>
          <w:sz w:val="25"/>
          <w:szCs w:val="25"/>
          <w:lang w:val="ru-RU"/>
        </w:rPr>
        <w:t>1 года  расходы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бюджет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 </w:t>
      </w:r>
      <w:r>
        <w:rPr>
          <w:rFonts w:ascii="Times New Roman" w:hAnsi="Times New Roman"/>
          <w:sz w:val="25"/>
          <w:szCs w:val="25"/>
          <w:lang w:val="ru-RU"/>
        </w:rPr>
        <w:t>на физическую культуру и спорт в целом увеличились</w:t>
      </w:r>
      <w:r w:rsidRPr="006C3938">
        <w:rPr>
          <w:rFonts w:ascii="Times New Roman" w:hAnsi="Times New Roman"/>
          <w:sz w:val="25"/>
          <w:szCs w:val="25"/>
          <w:lang w:val="ru-RU"/>
        </w:rPr>
        <w:t xml:space="preserve">  </w:t>
      </w:r>
      <w:r>
        <w:rPr>
          <w:rFonts w:ascii="Times New Roman" w:hAnsi="Times New Roman"/>
          <w:sz w:val="25"/>
          <w:szCs w:val="25"/>
          <w:lang w:val="ru-RU"/>
        </w:rPr>
        <w:t>на 128,6 тыс. руб.</w:t>
      </w:r>
    </w:p>
    <w:p w:rsidR="003F2667" w:rsidRPr="00C80EDB" w:rsidRDefault="003F2667" w:rsidP="003F2667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</w:p>
    <w:p w:rsidR="00EF6A09" w:rsidRPr="000675E6" w:rsidRDefault="00EF6A0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343FAD" w:rsidRPr="000675E6" w:rsidRDefault="00343FAD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4E0C5E" w:rsidRPr="000675E6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асход</w:t>
      </w:r>
      <w:r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BA5FD4">
        <w:rPr>
          <w:rFonts w:ascii="Times New Roman" w:hAnsi="Times New Roman"/>
          <w:sz w:val="25"/>
          <w:szCs w:val="25"/>
          <w:lang w:val="ru-RU"/>
        </w:rPr>
        <w:t>267,7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BA5FD4">
        <w:rPr>
          <w:rFonts w:ascii="Times New Roman" w:hAnsi="Times New Roman"/>
          <w:sz w:val="25"/>
          <w:szCs w:val="25"/>
          <w:lang w:val="ru-RU"/>
        </w:rPr>
        <w:t>76,4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BA5FD4">
        <w:rPr>
          <w:rFonts w:ascii="Times New Roman" w:hAnsi="Times New Roman"/>
          <w:sz w:val="25"/>
          <w:szCs w:val="25"/>
          <w:lang w:val="ru-RU"/>
        </w:rPr>
        <w:t>22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5931FA" w:rsidRPr="000675E6" w:rsidRDefault="000A0D12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Расходы бюджетных средств по данному разделу осуществлялись на предоставление субсидии  </w:t>
      </w:r>
      <w:r w:rsidR="00BA5FD4">
        <w:rPr>
          <w:rFonts w:ascii="Times New Roman" w:hAnsi="Times New Roman"/>
          <w:sz w:val="25"/>
          <w:szCs w:val="25"/>
          <w:lang w:val="ru-RU"/>
        </w:rPr>
        <w:t>в целях возмещения затрат, связанных с размещением информационных материалов по вопросам местного значения в средствах</w:t>
      </w:r>
      <w:r w:rsidR="00C80EDB">
        <w:rPr>
          <w:rFonts w:ascii="Times New Roman" w:hAnsi="Times New Roman"/>
          <w:sz w:val="25"/>
          <w:szCs w:val="25"/>
          <w:lang w:val="ru-RU"/>
        </w:rPr>
        <w:t xml:space="preserve"> массовой информации.</w:t>
      </w: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A16CC" w:rsidRPr="005A16CC" w:rsidRDefault="00577D9E" w:rsidP="005A16CC">
      <w:pPr>
        <w:pStyle w:val="aa"/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>Использование</w:t>
      </w:r>
      <w:r w:rsidR="005A16CC" w:rsidRPr="005A16CC">
        <w:rPr>
          <w:rFonts w:ascii="Times New Roman" w:hAnsi="Times New Roman"/>
          <w:b/>
          <w:sz w:val="25"/>
          <w:szCs w:val="25"/>
          <w:lang w:val="ru-RU"/>
        </w:rPr>
        <w:t xml:space="preserve"> средств резервного фонда администрации Октябрьского городского округа</w:t>
      </w:r>
    </w:p>
    <w:p w:rsidR="005A16CC" w:rsidRPr="005A16CC" w:rsidRDefault="005A16CC" w:rsidP="005A16CC">
      <w:pPr>
        <w:pStyle w:val="aa"/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5A16CC" w:rsidRPr="005A16CC" w:rsidRDefault="005A16CC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5A16CC">
        <w:rPr>
          <w:rFonts w:ascii="Times New Roman" w:hAnsi="Times New Roman"/>
          <w:sz w:val="25"/>
          <w:szCs w:val="25"/>
          <w:lang w:val="ru-RU"/>
        </w:rPr>
        <w:t>Объем резервного фонда администрации Октябрьского  городского округа  Пермского края на 202</w:t>
      </w:r>
      <w:r>
        <w:rPr>
          <w:rFonts w:ascii="Times New Roman" w:hAnsi="Times New Roman"/>
          <w:sz w:val="25"/>
          <w:szCs w:val="25"/>
          <w:lang w:val="ru-RU"/>
        </w:rPr>
        <w:t>2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финансовый год </w:t>
      </w:r>
      <w:r w:rsidR="008F4686">
        <w:rPr>
          <w:rFonts w:ascii="Times New Roman" w:hAnsi="Times New Roman"/>
          <w:sz w:val="25"/>
          <w:szCs w:val="25"/>
          <w:lang w:val="ru-RU"/>
        </w:rPr>
        <w:t>утвержден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решением Думы Октябрьского городского округа  от </w:t>
      </w:r>
      <w:r w:rsidR="008F4686">
        <w:rPr>
          <w:rFonts w:ascii="Times New Roman" w:hAnsi="Times New Roman"/>
          <w:sz w:val="25"/>
          <w:szCs w:val="25"/>
          <w:lang w:val="ru-RU"/>
        </w:rPr>
        <w:t>08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.12.2020г. № </w:t>
      </w:r>
      <w:r w:rsidR="008F4686">
        <w:rPr>
          <w:rFonts w:ascii="Times New Roman" w:hAnsi="Times New Roman"/>
          <w:sz w:val="25"/>
          <w:szCs w:val="25"/>
          <w:lang w:val="ru-RU"/>
        </w:rPr>
        <w:t>447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городского округа на 202</w:t>
      </w:r>
      <w:r w:rsidR="008F4686">
        <w:rPr>
          <w:rFonts w:ascii="Times New Roman" w:hAnsi="Times New Roman"/>
          <w:sz w:val="25"/>
          <w:szCs w:val="25"/>
          <w:lang w:val="ru-RU"/>
        </w:rPr>
        <w:t>2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год и на плановый период 202</w:t>
      </w:r>
      <w:r w:rsidR="008F4686">
        <w:rPr>
          <w:rFonts w:ascii="Times New Roman" w:hAnsi="Times New Roman"/>
          <w:sz w:val="25"/>
          <w:szCs w:val="25"/>
          <w:lang w:val="ru-RU"/>
        </w:rPr>
        <w:t>3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и 202</w:t>
      </w:r>
      <w:r w:rsidR="008F4686">
        <w:rPr>
          <w:rFonts w:ascii="Times New Roman" w:hAnsi="Times New Roman"/>
          <w:sz w:val="25"/>
          <w:szCs w:val="25"/>
          <w:lang w:val="ru-RU"/>
        </w:rPr>
        <w:t>4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годов»  был утвержден в объеме  </w:t>
      </w:r>
      <w:r w:rsidR="008F4686">
        <w:rPr>
          <w:rFonts w:ascii="Times New Roman" w:hAnsi="Times New Roman"/>
          <w:sz w:val="25"/>
          <w:szCs w:val="25"/>
          <w:lang w:val="ru-RU"/>
        </w:rPr>
        <w:t>4 381,5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5A16CC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A16CC" w:rsidRPr="005A16CC" w:rsidRDefault="005A16CC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5A16CC">
        <w:rPr>
          <w:rFonts w:ascii="Times New Roman" w:hAnsi="Times New Roman"/>
          <w:sz w:val="25"/>
          <w:szCs w:val="25"/>
          <w:lang w:val="ru-RU"/>
        </w:rPr>
        <w:t xml:space="preserve">Расходование средств резервного фонда администрации Октябрьского городского округа в отчетном периоде регламентировалось Положением о порядке </w:t>
      </w:r>
      <w:proofErr w:type="gramStart"/>
      <w:r w:rsidRPr="005A16CC">
        <w:rPr>
          <w:rFonts w:ascii="Times New Roman" w:hAnsi="Times New Roman"/>
          <w:sz w:val="25"/>
          <w:szCs w:val="25"/>
          <w:lang w:val="ru-RU"/>
        </w:rPr>
        <w:t>расходования средств резервного фонда Администрации Октябрьского городского округа Пермского</w:t>
      </w:r>
      <w:proofErr w:type="gramEnd"/>
      <w:r w:rsidRPr="005A16CC">
        <w:rPr>
          <w:rFonts w:ascii="Times New Roman" w:hAnsi="Times New Roman"/>
          <w:sz w:val="25"/>
          <w:szCs w:val="25"/>
          <w:lang w:val="ru-RU"/>
        </w:rPr>
        <w:t xml:space="preserve"> края, утвержденным постановлением Администрации Октябрьского городского округа Пермского края  от 04.02.2020 г.  №   94-266-01-05.</w:t>
      </w:r>
    </w:p>
    <w:p w:rsidR="005A16CC" w:rsidRPr="005A16CC" w:rsidRDefault="008F4686" w:rsidP="008F4686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За отчетный период</w:t>
      </w:r>
      <w:r w:rsidR="005A16CC" w:rsidRPr="005A16CC">
        <w:rPr>
          <w:rFonts w:ascii="Times New Roman" w:hAnsi="Times New Roman"/>
          <w:sz w:val="25"/>
          <w:szCs w:val="25"/>
          <w:lang w:val="ru-RU"/>
        </w:rPr>
        <w:t xml:space="preserve">  из резервного фонда 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="005A16CC" w:rsidRPr="005A16CC">
        <w:rPr>
          <w:rFonts w:ascii="Times New Roman" w:hAnsi="Times New Roman"/>
          <w:sz w:val="25"/>
          <w:szCs w:val="25"/>
          <w:lang w:val="ru-RU"/>
        </w:rPr>
        <w:t xml:space="preserve">дминистрации округа  направлено средств </w:t>
      </w:r>
      <w:r>
        <w:rPr>
          <w:rFonts w:ascii="Times New Roman" w:hAnsi="Times New Roman"/>
          <w:sz w:val="25"/>
          <w:szCs w:val="25"/>
          <w:lang w:val="ru-RU"/>
        </w:rPr>
        <w:t xml:space="preserve">в объеме 179,3 тыс. руб. </w:t>
      </w:r>
      <w:r w:rsidR="005A16CC" w:rsidRPr="005A16CC">
        <w:rPr>
          <w:rFonts w:ascii="Times New Roman" w:hAnsi="Times New Roman"/>
          <w:sz w:val="25"/>
          <w:szCs w:val="25"/>
          <w:lang w:val="ru-RU"/>
        </w:rPr>
        <w:t>на финансирование</w:t>
      </w:r>
      <w:r>
        <w:rPr>
          <w:rFonts w:ascii="Times New Roman" w:hAnsi="Times New Roman"/>
          <w:sz w:val="25"/>
          <w:szCs w:val="25"/>
          <w:lang w:val="ru-RU"/>
        </w:rPr>
        <w:t xml:space="preserve"> следующих</w:t>
      </w:r>
      <w:r w:rsidR="005A16CC" w:rsidRPr="005A16CC">
        <w:rPr>
          <w:rFonts w:ascii="Times New Roman" w:hAnsi="Times New Roman"/>
          <w:sz w:val="25"/>
          <w:szCs w:val="25"/>
          <w:lang w:val="ru-RU"/>
        </w:rPr>
        <w:t xml:space="preserve"> расходов</w:t>
      </w:r>
      <w:r>
        <w:rPr>
          <w:rFonts w:ascii="Times New Roman" w:hAnsi="Times New Roman"/>
          <w:sz w:val="25"/>
          <w:szCs w:val="25"/>
          <w:lang w:val="ru-RU"/>
        </w:rPr>
        <w:t>:</w:t>
      </w:r>
      <w:r w:rsidR="005A16CC" w:rsidRPr="005A16CC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A16CC" w:rsidRDefault="005A16CC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5A16CC">
        <w:rPr>
          <w:rFonts w:ascii="Times New Roman" w:hAnsi="Times New Roman"/>
          <w:sz w:val="25"/>
          <w:szCs w:val="25"/>
          <w:lang w:val="ru-RU"/>
        </w:rPr>
        <w:t xml:space="preserve">-Администрации </w:t>
      </w:r>
      <w:r w:rsidR="008F4686">
        <w:rPr>
          <w:rFonts w:ascii="Times New Roman" w:hAnsi="Times New Roman"/>
          <w:sz w:val="25"/>
          <w:szCs w:val="25"/>
          <w:lang w:val="ru-RU"/>
        </w:rPr>
        <w:t>Октябрьского городского округа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для оказания материальной помощи гражданам, пострадавшим в результате пожаров  - </w:t>
      </w:r>
      <w:r w:rsidR="008F4686">
        <w:rPr>
          <w:rFonts w:ascii="Times New Roman" w:hAnsi="Times New Roman"/>
          <w:sz w:val="25"/>
          <w:szCs w:val="25"/>
          <w:lang w:val="ru-RU"/>
        </w:rPr>
        <w:t>100,0</w:t>
      </w:r>
      <w:r w:rsidRPr="005A16CC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8F4686" w:rsidRDefault="008F4686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lastRenderedPageBreak/>
        <w:t>- Администрации Октябрьского городского округа для оплаты расходов по судебному приказу</w:t>
      </w:r>
      <w:r w:rsidR="00577D9E">
        <w:rPr>
          <w:rFonts w:ascii="Times New Roman" w:hAnsi="Times New Roman"/>
          <w:sz w:val="25"/>
          <w:szCs w:val="25"/>
          <w:lang w:val="ru-RU"/>
        </w:rPr>
        <w:t xml:space="preserve"> № А50-632/2022 от 26 января 2022 года в пользу ПАО «Пермская </w:t>
      </w:r>
      <w:proofErr w:type="spellStart"/>
      <w:r w:rsidR="00577D9E">
        <w:rPr>
          <w:rFonts w:ascii="Times New Roman" w:hAnsi="Times New Roman"/>
          <w:sz w:val="25"/>
          <w:szCs w:val="25"/>
          <w:lang w:val="ru-RU"/>
        </w:rPr>
        <w:t>энергосбытовая</w:t>
      </w:r>
      <w:proofErr w:type="spellEnd"/>
      <w:r w:rsidR="00577D9E">
        <w:rPr>
          <w:rFonts w:ascii="Times New Roman" w:hAnsi="Times New Roman"/>
          <w:sz w:val="25"/>
          <w:szCs w:val="25"/>
          <w:lang w:val="ru-RU"/>
        </w:rPr>
        <w:t xml:space="preserve"> компания".</w:t>
      </w:r>
    </w:p>
    <w:p w:rsidR="00AA763A" w:rsidRPr="005A16CC" w:rsidRDefault="00AA763A" w:rsidP="005A16C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sectPr w:rsidR="00AA763A" w:rsidRPr="005A16CC" w:rsidSect="00A25829">
      <w:footerReference w:type="default" r:id="rId10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F2" w:rsidRDefault="003A6FF2" w:rsidP="00B80DA6">
      <w:r>
        <w:separator/>
      </w:r>
    </w:p>
  </w:endnote>
  <w:endnote w:type="continuationSeparator" w:id="0">
    <w:p w:rsidR="003A6FF2" w:rsidRDefault="003A6FF2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EndPr/>
    <w:sdtContent>
      <w:p w:rsidR="007F31BA" w:rsidRDefault="007F31B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93" w:rsidRPr="002C3A93">
          <w:rPr>
            <w:noProof/>
            <w:lang w:val="ru-RU"/>
          </w:rPr>
          <w:t>13</w:t>
        </w:r>
        <w:r>
          <w:fldChar w:fldCharType="end"/>
        </w:r>
      </w:p>
    </w:sdtContent>
  </w:sdt>
  <w:p w:rsidR="007F31BA" w:rsidRDefault="007F31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F2" w:rsidRDefault="003A6FF2" w:rsidP="00B80DA6">
      <w:r>
        <w:separator/>
      </w:r>
    </w:p>
  </w:footnote>
  <w:footnote w:type="continuationSeparator" w:id="0">
    <w:p w:rsidR="003A6FF2" w:rsidRDefault="003A6FF2" w:rsidP="00B80DA6">
      <w:r>
        <w:continuationSeparator/>
      </w:r>
    </w:p>
  </w:footnote>
  <w:footnote w:id="1">
    <w:p w:rsidR="007F31BA" w:rsidRDefault="007F31BA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  <w:p w:rsidR="007F31BA" w:rsidRDefault="007F31BA">
      <w:pPr>
        <w:pStyle w:val="af8"/>
        <w:rPr>
          <w:lang w:val="ru-RU"/>
        </w:rPr>
      </w:pPr>
    </w:p>
    <w:p w:rsidR="007F31BA" w:rsidRDefault="007F31BA">
      <w:pPr>
        <w:pStyle w:val="af8"/>
        <w:rPr>
          <w:lang w:val="ru-RU"/>
        </w:rPr>
      </w:pPr>
    </w:p>
    <w:p w:rsidR="007F31BA" w:rsidRDefault="007F31BA">
      <w:pPr>
        <w:pStyle w:val="af8"/>
        <w:rPr>
          <w:lang w:val="ru-RU"/>
        </w:rPr>
      </w:pPr>
    </w:p>
    <w:p w:rsidR="007F31BA" w:rsidRDefault="007F31BA">
      <w:pPr>
        <w:pStyle w:val="af8"/>
        <w:rPr>
          <w:lang w:val="ru-RU"/>
        </w:rPr>
      </w:pPr>
    </w:p>
    <w:p w:rsidR="007F31BA" w:rsidRPr="007A37D9" w:rsidRDefault="007F31BA">
      <w:pPr>
        <w:pStyle w:val="af8"/>
        <w:rPr>
          <w:lang w:val="ru-RU"/>
        </w:rPr>
      </w:pPr>
    </w:p>
  </w:footnote>
  <w:footnote w:id="2">
    <w:p w:rsidR="007F31BA" w:rsidRPr="003E48A8" w:rsidRDefault="007F31BA" w:rsidP="005C4DD0">
      <w:pPr>
        <w:pStyle w:val="af8"/>
        <w:rPr>
          <w:lang w:val="ru-RU"/>
        </w:rPr>
      </w:pPr>
      <w:r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В</w:t>
      </w:r>
      <w:r w:rsidRPr="003E48A8">
        <w:rPr>
          <w:rFonts w:eastAsiaTheme="minorEastAsia"/>
          <w:lang w:val="ru-RU" w:eastAsia="ru-RU"/>
        </w:rPr>
        <w:t xml:space="preserve"> 202</w:t>
      </w:r>
      <w:r>
        <w:rPr>
          <w:rFonts w:eastAsiaTheme="minorEastAsia"/>
          <w:lang w:val="ru-RU" w:eastAsia="ru-RU"/>
        </w:rPr>
        <w:t>2</w:t>
      </w:r>
      <w:r w:rsidRPr="003E48A8">
        <w:rPr>
          <w:rFonts w:eastAsiaTheme="minorEastAsia"/>
          <w:lang w:val="ru-RU" w:eastAsia="ru-RU"/>
        </w:rPr>
        <w:t xml:space="preserve"> году - по нормативу </w:t>
      </w:r>
      <w:r>
        <w:rPr>
          <w:rFonts w:eastAsiaTheme="minorEastAsia"/>
          <w:lang w:val="ru-RU" w:eastAsia="ru-RU"/>
        </w:rPr>
        <w:t>12</w:t>
      </w:r>
      <w:r w:rsidRPr="003E48A8">
        <w:rPr>
          <w:rFonts w:eastAsiaTheme="minorEastAsia"/>
          <w:lang w:val="ru-RU" w:eastAsia="ru-RU"/>
        </w:rPr>
        <w:t xml:space="preserve"> процент</w:t>
      </w:r>
      <w:r>
        <w:rPr>
          <w:rFonts w:eastAsiaTheme="minorEastAsia"/>
          <w:lang w:val="ru-RU" w:eastAsia="ru-RU"/>
        </w:rPr>
        <w:t>ов</w:t>
      </w:r>
      <w:r w:rsidRPr="003E48A8">
        <w:rPr>
          <w:rFonts w:eastAsiaTheme="minorEastAsia"/>
          <w:lang w:val="ru-RU" w:eastAsia="ru-RU"/>
        </w:rPr>
        <w:t xml:space="preserve"> в федеральный бюджет, по нормативу </w:t>
      </w:r>
      <w:r>
        <w:rPr>
          <w:rFonts w:eastAsiaTheme="minorEastAsia"/>
          <w:lang w:val="ru-RU" w:eastAsia="ru-RU"/>
        </w:rPr>
        <w:t>88</w:t>
      </w:r>
      <w:r w:rsidRPr="003E48A8">
        <w:rPr>
          <w:rFonts w:eastAsiaTheme="minorEastAsia"/>
          <w:lang w:val="ru-RU" w:eastAsia="ru-RU"/>
        </w:rPr>
        <w:t xml:space="preserve"> процент</w:t>
      </w:r>
      <w:r>
        <w:rPr>
          <w:rFonts w:eastAsiaTheme="minorEastAsia"/>
          <w:lang w:val="ru-RU" w:eastAsia="ru-RU"/>
        </w:rPr>
        <w:t>ов</w:t>
      </w:r>
      <w:r w:rsidRPr="003E48A8">
        <w:rPr>
          <w:rFonts w:eastAsiaTheme="minorEastAsia"/>
          <w:lang w:val="ru-RU" w:eastAsia="ru-RU"/>
        </w:rPr>
        <w:t xml:space="preserve"> - в бюджеты субъектов Российской Федерации</w:t>
      </w:r>
    </w:p>
  </w:footnote>
  <w:footnote w:id="3">
    <w:p w:rsidR="007F31BA" w:rsidRPr="003E48A8" w:rsidRDefault="007F31BA" w:rsidP="005C4DD0">
      <w:pPr>
        <w:pStyle w:val="af8"/>
        <w:rPr>
          <w:lang w:val="ru-RU"/>
        </w:rPr>
      </w:pPr>
      <w:r w:rsidRPr="003E48A8"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С</w:t>
      </w:r>
      <w:r w:rsidRPr="003E48A8">
        <w:rPr>
          <w:rFonts w:eastAsiaTheme="minorEastAsia"/>
          <w:lang w:val="ru-RU" w:eastAsia="ru-RU"/>
        </w:rPr>
        <w:t>т. 7 Закона Пермского края от 12.10.2007 № 111-ПК  «О бюджетном процессе в Пермском крае»</w:t>
      </w:r>
      <w:r>
        <w:rPr>
          <w:rFonts w:eastAsiaTheme="minorEastAsia"/>
          <w:lang w:val="ru-RU" w:eastAsia="ru-RU"/>
        </w:rPr>
        <w:t>.</w:t>
      </w:r>
    </w:p>
  </w:footnote>
  <w:footnote w:id="4">
    <w:p w:rsidR="007F31BA" w:rsidRPr="0058515B" w:rsidRDefault="007F31BA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r>
        <w:rPr>
          <w:sz w:val="20"/>
          <w:szCs w:val="20"/>
          <w:lang w:val="ru-RU" w:eastAsia="ru-RU" w:bidi="ar-SA"/>
        </w:rPr>
        <w:t xml:space="preserve"> </w:t>
      </w:r>
      <w:r w:rsidRPr="008516E1">
        <w:rPr>
          <w:sz w:val="20"/>
          <w:szCs w:val="20"/>
          <w:lang w:val="ru-RU" w:eastAsia="ru-RU" w:bidi="ar-SA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58AB"/>
    <w:rsid w:val="000164C7"/>
    <w:rsid w:val="000165A1"/>
    <w:rsid w:val="00017BC2"/>
    <w:rsid w:val="00017D84"/>
    <w:rsid w:val="00020507"/>
    <w:rsid w:val="000205AB"/>
    <w:rsid w:val="00020942"/>
    <w:rsid w:val="00021882"/>
    <w:rsid w:val="00021D9B"/>
    <w:rsid w:val="000225B0"/>
    <w:rsid w:val="00024227"/>
    <w:rsid w:val="0002477A"/>
    <w:rsid w:val="0002695D"/>
    <w:rsid w:val="000270DA"/>
    <w:rsid w:val="00030E46"/>
    <w:rsid w:val="00031194"/>
    <w:rsid w:val="00031F06"/>
    <w:rsid w:val="00032500"/>
    <w:rsid w:val="00033EAE"/>
    <w:rsid w:val="000345A8"/>
    <w:rsid w:val="00034CD5"/>
    <w:rsid w:val="00035738"/>
    <w:rsid w:val="000372A2"/>
    <w:rsid w:val="0004131A"/>
    <w:rsid w:val="0004185A"/>
    <w:rsid w:val="00041877"/>
    <w:rsid w:val="00041B18"/>
    <w:rsid w:val="00042ADB"/>
    <w:rsid w:val="00043268"/>
    <w:rsid w:val="00043422"/>
    <w:rsid w:val="0004461A"/>
    <w:rsid w:val="00044ABF"/>
    <w:rsid w:val="00044B9E"/>
    <w:rsid w:val="000464B3"/>
    <w:rsid w:val="00050A70"/>
    <w:rsid w:val="00050CF1"/>
    <w:rsid w:val="00050D4D"/>
    <w:rsid w:val="00051401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7E46"/>
    <w:rsid w:val="00060AC9"/>
    <w:rsid w:val="00061EF0"/>
    <w:rsid w:val="00062483"/>
    <w:rsid w:val="000632DE"/>
    <w:rsid w:val="0006436F"/>
    <w:rsid w:val="0006480B"/>
    <w:rsid w:val="000650DC"/>
    <w:rsid w:val="00066A1E"/>
    <w:rsid w:val="000675E6"/>
    <w:rsid w:val="00067B69"/>
    <w:rsid w:val="000701E0"/>
    <w:rsid w:val="000706F2"/>
    <w:rsid w:val="00070EEC"/>
    <w:rsid w:val="00071B59"/>
    <w:rsid w:val="00073A14"/>
    <w:rsid w:val="00073A9B"/>
    <w:rsid w:val="0007444B"/>
    <w:rsid w:val="00074F2E"/>
    <w:rsid w:val="000750B5"/>
    <w:rsid w:val="00075947"/>
    <w:rsid w:val="00076434"/>
    <w:rsid w:val="00076B1E"/>
    <w:rsid w:val="00080AE3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8CC"/>
    <w:rsid w:val="00086963"/>
    <w:rsid w:val="0008750C"/>
    <w:rsid w:val="00087A41"/>
    <w:rsid w:val="00090D0E"/>
    <w:rsid w:val="00090EBC"/>
    <w:rsid w:val="0009340B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D12"/>
    <w:rsid w:val="000A16CA"/>
    <w:rsid w:val="000A1BC8"/>
    <w:rsid w:val="000A259D"/>
    <w:rsid w:val="000A2AC0"/>
    <w:rsid w:val="000A4C0B"/>
    <w:rsid w:val="000A4D7A"/>
    <w:rsid w:val="000A55CA"/>
    <w:rsid w:val="000A5929"/>
    <w:rsid w:val="000A5B7E"/>
    <w:rsid w:val="000A67D6"/>
    <w:rsid w:val="000A77A5"/>
    <w:rsid w:val="000B0358"/>
    <w:rsid w:val="000B0475"/>
    <w:rsid w:val="000B240D"/>
    <w:rsid w:val="000B3002"/>
    <w:rsid w:val="000B38B2"/>
    <w:rsid w:val="000B39D8"/>
    <w:rsid w:val="000B3C7E"/>
    <w:rsid w:val="000B496F"/>
    <w:rsid w:val="000B6223"/>
    <w:rsid w:val="000B62ED"/>
    <w:rsid w:val="000B6910"/>
    <w:rsid w:val="000B7BE6"/>
    <w:rsid w:val="000C1276"/>
    <w:rsid w:val="000C22DF"/>
    <w:rsid w:val="000C3862"/>
    <w:rsid w:val="000C3BD6"/>
    <w:rsid w:val="000C4857"/>
    <w:rsid w:val="000C4968"/>
    <w:rsid w:val="000C5881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386C"/>
    <w:rsid w:val="000F5003"/>
    <w:rsid w:val="000F55FB"/>
    <w:rsid w:val="000F7122"/>
    <w:rsid w:val="000F7A20"/>
    <w:rsid w:val="001005DB"/>
    <w:rsid w:val="00100860"/>
    <w:rsid w:val="00101475"/>
    <w:rsid w:val="001019AD"/>
    <w:rsid w:val="00102528"/>
    <w:rsid w:val="001033EB"/>
    <w:rsid w:val="00103DAB"/>
    <w:rsid w:val="001052A0"/>
    <w:rsid w:val="00105440"/>
    <w:rsid w:val="00105B3F"/>
    <w:rsid w:val="00105B9D"/>
    <w:rsid w:val="00106150"/>
    <w:rsid w:val="001061D8"/>
    <w:rsid w:val="00106587"/>
    <w:rsid w:val="0010731D"/>
    <w:rsid w:val="00107643"/>
    <w:rsid w:val="00107D63"/>
    <w:rsid w:val="00111091"/>
    <w:rsid w:val="001115D2"/>
    <w:rsid w:val="00111B24"/>
    <w:rsid w:val="00112E8A"/>
    <w:rsid w:val="001143D4"/>
    <w:rsid w:val="00114524"/>
    <w:rsid w:val="00114983"/>
    <w:rsid w:val="00116185"/>
    <w:rsid w:val="0011665F"/>
    <w:rsid w:val="00117069"/>
    <w:rsid w:val="00117C66"/>
    <w:rsid w:val="00117D13"/>
    <w:rsid w:val="0012084F"/>
    <w:rsid w:val="00120E2E"/>
    <w:rsid w:val="001218BD"/>
    <w:rsid w:val="001218D2"/>
    <w:rsid w:val="00121FB6"/>
    <w:rsid w:val="00122158"/>
    <w:rsid w:val="00123E10"/>
    <w:rsid w:val="001247A5"/>
    <w:rsid w:val="00125524"/>
    <w:rsid w:val="00126746"/>
    <w:rsid w:val="00126F40"/>
    <w:rsid w:val="00127689"/>
    <w:rsid w:val="00127D8B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7C74"/>
    <w:rsid w:val="001506E2"/>
    <w:rsid w:val="0015145E"/>
    <w:rsid w:val="00151B32"/>
    <w:rsid w:val="001528FC"/>
    <w:rsid w:val="00153502"/>
    <w:rsid w:val="001537C3"/>
    <w:rsid w:val="00153B6B"/>
    <w:rsid w:val="00155E44"/>
    <w:rsid w:val="00156187"/>
    <w:rsid w:val="0015656E"/>
    <w:rsid w:val="00157883"/>
    <w:rsid w:val="00157C59"/>
    <w:rsid w:val="00160D9C"/>
    <w:rsid w:val="001611D9"/>
    <w:rsid w:val="00161EE2"/>
    <w:rsid w:val="001620F0"/>
    <w:rsid w:val="0016216F"/>
    <w:rsid w:val="00162FFE"/>
    <w:rsid w:val="00165920"/>
    <w:rsid w:val="00166B49"/>
    <w:rsid w:val="00166CC1"/>
    <w:rsid w:val="00170055"/>
    <w:rsid w:val="001702B7"/>
    <w:rsid w:val="00170771"/>
    <w:rsid w:val="00172179"/>
    <w:rsid w:val="0017230F"/>
    <w:rsid w:val="00172C45"/>
    <w:rsid w:val="00174689"/>
    <w:rsid w:val="00174A22"/>
    <w:rsid w:val="00174A3A"/>
    <w:rsid w:val="001753AC"/>
    <w:rsid w:val="001757C4"/>
    <w:rsid w:val="0017658F"/>
    <w:rsid w:val="00176F85"/>
    <w:rsid w:val="001773ED"/>
    <w:rsid w:val="00177AAF"/>
    <w:rsid w:val="00177E6B"/>
    <w:rsid w:val="0018002B"/>
    <w:rsid w:val="001812C4"/>
    <w:rsid w:val="00181A87"/>
    <w:rsid w:val="00181A90"/>
    <w:rsid w:val="00185B75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283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6181"/>
    <w:rsid w:val="001A7E0A"/>
    <w:rsid w:val="001A7FE7"/>
    <w:rsid w:val="001A7FF5"/>
    <w:rsid w:val="001B026E"/>
    <w:rsid w:val="001B0E4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1830"/>
    <w:rsid w:val="001C26D2"/>
    <w:rsid w:val="001C2A3E"/>
    <w:rsid w:val="001C3257"/>
    <w:rsid w:val="001C4578"/>
    <w:rsid w:val="001C5542"/>
    <w:rsid w:val="001C5667"/>
    <w:rsid w:val="001C6F95"/>
    <w:rsid w:val="001C7738"/>
    <w:rsid w:val="001D00BF"/>
    <w:rsid w:val="001D0115"/>
    <w:rsid w:val="001D09D2"/>
    <w:rsid w:val="001D1E9C"/>
    <w:rsid w:val="001D2325"/>
    <w:rsid w:val="001D38D9"/>
    <w:rsid w:val="001D445B"/>
    <w:rsid w:val="001D5A7C"/>
    <w:rsid w:val="001D65BB"/>
    <w:rsid w:val="001D7197"/>
    <w:rsid w:val="001E04B2"/>
    <w:rsid w:val="001E0734"/>
    <w:rsid w:val="001E1307"/>
    <w:rsid w:val="001E1B91"/>
    <w:rsid w:val="001E1E7F"/>
    <w:rsid w:val="001E3193"/>
    <w:rsid w:val="001E3A6F"/>
    <w:rsid w:val="001E47D0"/>
    <w:rsid w:val="001E4A46"/>
    <w:rsid w:val="001E4AA0"/>
    <w:rsid w:val="001E4AE8"/>
    <w:rsid w:val="001E4D87"/>
    <w:rsid w:val="001E50AA"/>
    <w:rsid w:val="001E525D"/>
    <w:rsid w:val="001E567D"/>
    <w:rsid w:val="001E71E8"/>
    <w:rsid w:val="001E781F"/>
    <w:rsid w:val="001E7922"/>
    <w:rsid w:val="001E7B80"/>
    <w:rsid w:val="001F00F7"/>
    <w:rsid w:val="001F0482"/>
    <w:rsid w:val="001F1419"/>
    <w:rsid w:val="001F1450"/>
    <w:rsid w:val="001F1ECF"/>
    <w:rsid w:val="001F25E4"/>
    <w:rsid w:val="001F2616"/>
    <w:rsid w:val="001F425F"/>
    <w:rsid w:val="001F4813"/>
    <w:rsid w:val="001F6967"/>
    <w:rsid w:val="001F72B3"/>
    <w:rsid w:val="002018DC"/>
    <w:rsid w:val="00207CD0"/>
    <w:rsid w:val="00212025"/>
    <w:rsid w:val="00212438"/>
    <w:rsid w:val="0021322F"/>
    <w:rsid w:val="00213705"/>
    <w:rsid w:val="00213A6F"/>
    <w:rsid w:val="0021569E"/>
    <w:rsid w:val="002156AB"/>
    <w:rsid w:val="00215D55"/>
    <w:rsid w:val="00215FBE"/>
    <w:rsid w:val="00216EB0"/>
    <w:rsid w:val="0021725D"/>
    <w:rsid w:val="00222348"/>
    <w:rsid w:val="00223B97"/>
    <w:rsid w:val="00223F75"/>
    <w:rsid w:val="0022481A"/>
    <w:rsid w:val="00225006"/>
    <w:rsid w:val="0022527E"/>
    <w:rsid w:val="00225A8E"/>
    <w:rsid w:val="00226EFE"/>
    <w:rsid w:val="002272BF"/>
    <w:rsid w:val="0023206D"/>
    <w:rsid w:val="00232314"/>
    <w:rsid w:val="00232948"/>
    <w:rsid w:val="0023331E"/>
    <w:rsid w:val="00235362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3D0B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E86"/>
    <w:rsid w:val="00263FFB"/>
    <w:rsid w:val="002644CC"/>
    <w:rsid w:val="002654AD"/>
    <w:rsid w:val="002673B3"/>
    <w:rsid w:val="00270BDA"/>
    <w:rsid w:val="00271741"/>
    <w:rsid w:val="002728BB"/>
    <w:rsid w:val="00273631"/>
    <w:rsid w:val="00273DE5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E24"/>
    <w:rsid w:val="002856AD"/>
    <w:rsid w:val="00285F9F"/>
    <w:rsid w:val="00286030"/>
    <w:rsid w:val="00286C2B"/>
    <w:rsid w:val="0029144C"/>
    <w:rsid w:val="00291EB6"/>
    <w:rsid w:val="0029234E"/>
    <w:rsid w:val="00292797"/>
    <w:rsid w:val="00292AD4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D2F"/>
    <w:rsid w:val="002A4BE7"/>
    <w:rsid w:val="002A4C61"/>
    <w:rsid w:val="002A5433"/>
    <w:rsid w:val="002A5805"/>
    <w:rsid w:val="002A69A7"/>
    <w:rsid w:val="002A74D0"/>
    <w:rsid w:val="002B1868"/>
    <w:rsid w:val="002B1FB4"/>
    <w:rsid w:val="002B4207"/>
    <w:rsid w:val="002B4583"/>
    <w:rsid w:val="002B47B9"/>
    <w:rsid w:val="002B62AF"/>
    <w:rsid w:val="002B67A5"/>
    <w:rsid w:val="002B6E8E"/>
    <w:rsid w:val="002B7881"/>
    <w:rsid w:val="002C05DC"/>
    <w:rsid w:val="002C0701"/>
    <w:rsid w:val="002C2884"/>
    <w:rsid w:val="002C3217"/>
    <w:rsid w:val="002C3A93"/>
    <w:rsid w:val="002C3B9C"/>
    <w:rsid w:val="002C4377"/>
    <w:rsid w:val="002C6B18"/>
    <w:rsid w:val="002C7F94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507C"/>
    <w:rsid w:val="002E54D8"/>
    <w:rsid w:val="002E567F"/>
    <w:rsid w:val="002E6DC6"/>
    <w:rsid w:val="002E7A35"/>
    <w:rsid w:val="002F018B"/>
    <w:rsid w:val="002F08AD"/>
    <w:rsid w:val="002F2C33"/>
    <w:rsid w:val="002F34B9"/>
    <w:rsid w:val="002F4419"/>
    <w:rsid w:val="002F574C"/>
    <w:rsid w:val="002F5CDB"/>
    <w:rsid w:val="002F5E9B"/>
    <w:rsid w:val="002F63D5"/>
    <w:rsid w:val="002F6DBA"/>
    <w:rsid w:val="002F7516"/>
    <w:rsid w:val="002F75DD"/>
    <w:rsid w:val="00300AC1"/>
    <w:rsid w:val="00301769"/>
    <w:rsid w:val="00303263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7328"/>
    <w:rsid w:val="00317657"/>
    <w:rsid w:val="003214C1"/>
    <w:rsid w:val="00321E47"/>
    <w:rsid w:val="003220D3"/>
    <w:rsid w:val="00322A46"/>
    <w:rsid w:val="00323B32"/>
    <w:rsid w:val="003241B0"/>
    <w:rsid w:val="00324BC5"/>
    <w:rsid w:val="00324C92"/>
    <w:rsid w:val="00325DDC"/>
    <w:rsid w:val="0032643C"/>
    <w:rsid w:val="00326B9A"/>
    <w:rsid w:val="00330113"/>
    <w:rsid w:val="00331472"/>
    <w:rsid w:val="00331B27"/>
    <w:rsid w:val="00331E1F"/>
    <w:rsid w:val="00332ED7"/>
    <w:rsid w:val="00332F6B"/>
    <w:rsid w:val="003351C0"/>
    <w:rsid w:val="00335228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076"/>
    <w:rsid w:val="003422C7"/>
    <w:rsid w:val="0034285C"/>
    <w:rsid w:val="00343AB8"/>
    <w:rsid w:val="00343FAD"/>
    <w:rsid w:val="003440ED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F23"/>
    <w:rsid w:val="0037684D"/>
    <w:rsid w:val="00377DC9"/>
    <w:rsid w:val="003812C1"/>
    <w:rsid w:val="003814E3"/>
    <w:rsid w:val="00381FDC"/>
    <w:rsid w:val="003829B5"/>
    <w:rsid w:val="0038325D"/>
    <w:rsid w:val="003846A3"/>
    <w:rsid w:val="003861C3"/>
    <w:rsid w:val="003871A9"/>
    <w:rsid w:val="003909D2"/>
    <w:rsid w:val="00390C0D"/>
    <w:rsid w:val="00390FD8"/>
    <w:rsid w:val="00391527"/>
    <w:rsid w:val="0039262E"/>
    <w:rsid w:val="00392BEB"/>
    <w:rsid w:val="00392DD5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933"/>
    <w:rsid w:val="003A0FB9"/>
    <w:rsid w:val="003A2460"/>
    <w:rsid w:val="003A26F8"/>
    <w:rsid w:val="003A2FB9"/>
    <w:rsid w:val="003A633B"/>
    <w:rsid w:val="003A678C"/>
    <w:rsid w:val="003A6D8F"/>
    <w:rsid w:val="003A6FF2"/>
    <w:rsid w:val="003A700F"/>
    <w:rsid w:val="003A7AFB"/>
    <w:rsid w:val="003B008D"/>
    <w:rsid w:val="003B20E7"/>
    <w:rsid w:val="003B308E"/>
    <w:rsid w:val="003B3D97"/>
    <w:rsid w:val="003B4150"/>
    <w:rsid w:val="003B48D8"/>
    <w:rsid w:val="003B5847"/>
    <w:rsid w:val="003B5A71"/>
    <w:rsid w:val="003C0848"/>
    <w:rsid w:val="003C1850"/>
    <w:rsid w:val="003C1F0C"/>
    <w:rsid w:val="003C2DDE"/>
    <w:rsid w:val="003C3224"/>
    <w:rsid w:val="003C3669"/>
    <w:rsid w:val="003C47C5"/>
    <w:rsid w:val="003C486F"/>
    <w:rsid w:val="003C5BBF"/>
    <w:rsid w:val="003C6FF5"/>
    <w:rsid w:val="003C7053"/>
    <w:rsid w:val="003C7790"/>
    <w:rsid w:val="003C7ADA"/>
    <w:rsid w:val="003D165E"/>
    <w:rsid w:val="003D176E"/>
    <w:rsid w:val="003D21B6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FE8"/>
    <w:rsid w:val="003D782A"/>
    <w:rsid w:val="003E03BE"/>
    <w:rsid w:val="003E1DA8"/>
    <w:rsid w:val="003E2636"/>
    <w:rsid w:val="003E48A8"/>
    <w:rsid w:val="003E48EC"/>
    <w:rsid w:val="003E4C6D"/>
    <w:rsid w:val="003E4E54"/>
    <w:rsid w:val="003E6819"/>
    <w:rsid w:val="003E6D42"/>
    <w:rsid w:val="003F0169"/>
    <w:rsid w:val="003F1304"/>
    <w:rsid w:val="003F25AC"/>
    <w:rsid w:val="003F2667"/>
    <w:rsid w:val="003F2710"/>
    <w:rsid w:val="003F283C"/>
    <w:rsid w:val="003F56FD"/>
    <w:rsid w:val="003F710D"/>
    <w:rsid w:val="003F7338"/>
    <w:rsid w:val="00400358"/>
    <w:rsid w:val="004005B9"/>
    <w:rsid w:val="00401606"/>
    <w:rsid w:val="00402FE9"/>
    <w:rsid w:val="004034A8"/>
    <w:rsid w:val="004067CA"/>
    <w:rsid w:val="004068F4"/>
    <w:rsid w:val="00407778"/>
    <w:rsid w:val="00407B85"/>
    <w:rsid w:val="00407D71"/>
    <w:rsid w:val="00411D5C"/>
    <w:rsid w:val="00412164"/>
    <w:rsid w:val="00412D65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481"/>
    <w:rsid w:val="00425CE5"/>
    <w:rsid w:val="0042753E"/>
    <w:rsid w:val="00427AF9"/>
    <w:rsid w:val="00431CAC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313F"/>
    <w:rsid w:val="00444234"/>
    <w:rsid w:val="0044429D"/>
    <w:rsid w:val="00444D86"/>
    <w:rsid w:val="00445625"/>
    <w:rsid w:val="004459B9"/>
    <w:rsid w:val="00445CC7"/>
    <w:rsid w:val="004469BE"/>
    <w:rsid w:val="00446F95"/>
    <w:rsid w:val="00447BE9"/>
    <w:rsid w:val="0045036E"/>
    <w:rsid w:val="00450E03"/>
    <w:rsid w:val="00451219"/>
    <w:rsid w:val="004513CD"/>
    <w:rsid w:val="00452EFE"/>
    <w:rsid w:val="00453040"/>
    <w:rsid w:val="00453BB0"/>
    <w:rsid w:val="00455061"/>
    <w:rsid w:val="00457633"/>
    <w:rsid w:val="00457A0F"/>
    <w:rsid w:val="00460451"/>
    <w:rsid w:val="0046124D"/>
    <w:rsid w:val="00461786"/>
    <w:rsid w:val="004617F8"/>
    <w:rsid w:val="00462174"/>
    <w:rsid w:val="00463145"/>
    <w:rsid w:val="00464298"/>
    <w:rsid w:val="004669D7"/>
    <w:rsid w:val="0046796F"/>
    <w:rsid w:val="0047036C"/>
    <w:rsid w:val="0047072B"/>
    <w:rsid w:val="004719B0"/>
    <w:rsid w:val="00471EDA"/>
    <w:rsid w:val="00472CBF"/>
    <w:rsid w:val="00473094"/>
    <w:rsid w:val="004756DD"/>
    <w:rsid w:val="0047671F"/>
    <w:rsid w:val="00476992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576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0E1D"/>
    <w:rsid w:val="004A1271"/>
    <w:rsid w:val="004A17D0"/>
    <w:rsid w:val="004A2C36"/>
    <w:rsid w:val="004A4059"/>
    <w:rsid w:val="004A4A16"/>
    <w:rsid w:val="004A5296"/>
    <w:rsid w:val="004A5BEF"/>
    <w:rsid w:val="004A643C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2F41"/>
    <w:rsid w:val="004B3593"/>
    <w:rsid w:val="004B39AB"/>
    <w:rsid w:val="004B3FF6"/>
    <w:rsid w:val="004B4070"/>
    <w:rsid w:val="004B42A6"/>
    <w:rsid w:val="004B442E"/>
    <w:rsid w:val="004B4EF9"/>
    <w:rsid w:val="004B638B"/>
    <w:rsid w:val="004B6FC3"/>
    <w:rsid w:val="004B7465"/>
    <w:rsid w:val="004B7B2D"/>
    <w:rsid w:val="004B7F48"/>
    <w:rsid w:val="004C049B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129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4F7861"/>
    <w:rsid w:val="00502442"/>
    <w:rsid w:val="00503F01"/>
    <w:rsid w:val="005064F3"/>
    <w:rsid w:val="00506B95"/>
    <w:rsid w:val="005070AF"/>
    <w:rsid w:val="0050788F"/>
    <w:rsid w:val="00507A7C"/>
    <w:rsid w:val="00511013"/>
    <w:rsid w:val="00512F0B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280"/>
    <w:rsid w:val="00536831"/>
    <w:rsid w:val="00536CF6"/>
    <w:rsid w:val="00537CBD"/>
    <w:rsid w:val="0054373F"/>
    <w:rsid w:val="0054413A"/>
    <w:rsid w:val="005456F0"/>
    <w:rsid w:val="00545A1B"/>
    <w:rsid w:val="00545F63"/>
    <w:rsid w:val="0054644E"/>
    <w:rsid w:val="00546902"/>
    <w:rsid w:val="00546FE6"/>
    <w:rsid w:val="0054717A"/>
    <w:rsid w:val="00547F51"/>
    <w:rsid w:val="00551484"/>
    <w:rsid w:val="005527FF"/>
    <w:rsid w:val="00552C85"/>
    <w:rsid w:val="00552FC2"/>
    <w:rsid w:val="00553605"/>
    <w:rsid w:val="00553762"/>
    <w:rsid w:val="00553D0D"/>
    <w:rsid w:val="00553D9F"/>
    <w:rsid w:val="00553FA5"/>
    <w:rsid w:val="00554B93"/>
    <w:rsid w:val="00554F86"/>
    <w:rsid w:val="00555771"/>
    <w:rsid w:val="005559CD"/>
    <w:rsid w:val="00555DF0"/>
    <w:rsid w:val="005567B6"/>
    <w:rsid w:val="00556A46"/>
    <w:rsid w:val="0056157E"/>
    <w:rsid w:val="005615D5"/>
    <w:rsid w:val="00563809"/>
    <w:rsid w:val="00563A53"/>
    <w:rsid w:val="00564F21"/>
    <w:rsid w:val="00564FEA"/>
    <w:rsid w:val="005656A5"/>
    <w:rsid w:val="005656DB"/>
    <w:rsid w:val="00567E21"/>
    <w:rsid w:val="00571333"/>
    <w:rsid w:val="005714B5"/>
    <w:rsid w:val="00571BFE"/>
    <w:rsid w:val="00572BC2"/>
    <w:rsid w:val="00573312"/>
    <w:rsid w:val="005742CE"/>
    <w:rsid w:val="005742DC"/>
    <w:rsid w:val="0057460C"/>
    <w:rsid w:val="00576189"/>
    <w:rsid w:val="005761CC"/>
    <w:rsid w:val="005766BA"/>
    <w:rsid w:val="0057670D"/>
    <w:rsid w:val="00577D9E"/>
    <w:rsid w:val="0058117E"/>
    <w:rsid w:val="00582819"/>
    <w:rsid w:val="005831E9"/>
    <w:rsid w:val="00583A67"/>
    <w:rsid w:val="00583F28"/>
    <w:rsid w:val="0058515B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1FA"/>
    <w:rsid w:val="0059330D"/>
    <w:rsid w:val="0059341D"/>
    <w:rsid w:val="00594258"/>
    <w:rsid w:val="005943B8"/>
    <w:rsid w:val="00594F8A"/>
    <w:rsid w:val="0059625C"/>
    <w:rsid w:val="00596B21"/>
    <w:rsid w:val="00596B40"/>
    <w:rsid w:val="0059714B"/>
    <w:rsid w:val="005A0598"/>
    <w:rsid w:val="005A16CC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4DD0"/>
    <w:rsid w:val="005C5E18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D9E"/>
    <w:rsid w:val="00604431"/>
    <w:rsid w:val="0060709F"/>
    <w:rsid w:val="00607CBC"/>
    <w:rsid w:val="00610B5E"/>
    <w:rsid w:val="0061176D"/>
    <w:rsid w:val="00611A83"/>
    <w:rsid w:val="00611FBA"/>
    <w:rsid w:val="00612064"/>
    <w:rsid w:val="00613208"/>
    <w:rsid w:val="0061376E"/>
    <w:rsid w:val="00616912"/>
    <w:rsid w:val="0061736B"/>
    <w:rsid w:val="006177DB"/>
    <w:rsid w:val="00620278"/>
    <w:rsid w:val="006203A0"/>
    <w:rsid w:val="00620F53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72B9"/>
    <w:rsid w:val="006277CC"/>
    <w:rsid w:val="006300E8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FC7"/>
    <w:rsid w:val="0064277E"/>
    <w:rsid w:val="00642AAB"/>
    <w:rsid w:val="00642BD7"/>
    <w:rsid w:val="0064349B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1B1F"/>
    <w:rsid w:val="006626D5"/>
    <w:rsid w:val="0066354D"/>
    <w:rsid w:val="00665DA3"/>
    <w:rsid w:val="0066635B"/>
    <w:rsid w:val="00667221"/>
    <w:rsid w:val="00671C7C"/>
    <w:rsid w:val="006766C0"/>
    <w:rsid w:val="00677699"/>
    <w:rsid w:val="006777C1"/>
    <w:rsid w:val="00677D97"/>
    <w:rsid w:val="006800CA"/>
    <w:rsid w:val="00681614"/>
    <w:rsid w:val="00681A36"/>
    <w:rsid w:val="00681F47"/>
    <w:rsid w:val="00682C55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637"/>
    <w:rsid w:val="00687911"/>
    <w:rsid w:val="00687FF6"/>
    <w:rsid w:val="00690256"/>
    <w:rsid w:val="00690858"/>
    <w:rsid w:val="006909D8"/>
    <w:rsid w:val="0069238E"/>
    <w:rsid w:val="0069591B"/>
    <w:rsid w:val="006964A0"/>
    <w:rsid w:val="00696993"/>
    <w:rsid w:val="00696E1A"/>
    <w:rsid w:val="006A0CB6"/>
    <w:rsid w:val="006A0E5E"/>
    <w:rsid w:val="006A13E8"/>
    <w:rsid w:val="006A163E"/>
    <w:rsid w:val="006A17B6"/>
    <w:rsid w:val="006A2A9E"/>
    <w:rsid w:val="006A5437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938"/>
    <w:rsid w:val="006C3C82"/>
    <w:rsid w:val="006C3FBC"/>
    <w:rsid w:val="006C46A5"/>
    <w:rsid w:val="006C5B18"/>
    <w:rsid w:val="006C6F66"/>
    <w:rsid w:val="006C7398"/>
    <w:rsid w:val="006D0197"/>
    <w:rsid w:val="006D0CA3"/>
    <w:rsid w:val="006D0E42"/>
    <w:rsid w:val="006D137B"/>
    <w:rsid w:val="006D1980"/>
    <w:rsid w:val="006D3925"/>
    <w:rsid w:val="006D45EA"/>
    <w:rsid w:val="006D47ED"/>
    <w:rsid w:val="006D67E4"/>
    <w:rsid w:val="006D738A"/>
    <w:rsid w:val="006D77CA"/>
    <w:rsid w:val="006D7AF9"/>
    <w:rsid w:val="006E11A1"/>
    <w:rsid w:val="006E17DB"/>
    <w:rsid w:val="006E268D"/>
    <w:rsid w:val="006E42DB"/>
    <w:rsid w:val="006E4A62"/>
    <w:rsid w:val="006E5611"/>
    <w:rsid w:val="006E6EBB"/>
    <w:rsid w:val="006E780C"/>
    <w:rsid w:val="006F06E5"/>
    <w:rsid w:val="006F1518"/>
    <w:rsid w:val="006F1CB2"/>
    <w:rsid w:val="006F25A2"/>
    <w:rsid w:val="006F39CC"/>
    <w:rsid w:val="006F3F33"/>
    <w:rsid w:val="006F4E5E"/>
    <w:rsid w:val="006F56C2"/>
    <w:rsid w:val="006F5BA2"/>
    <w:rsid w:val="006F5C94"/>
    <w:rsid w:val="006F5EA4"/>
    <w:rsid w:val="006F7AD1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6CA"/>
    <w:rsid w:val="00713E73"/>
    <w:rsid w:val="007140CB"/>
    <w:rsid w:val="00714BC8"/>
    <w:rsid w:val="007154E9"/>
    <w:rsid w:val="00715FD2"/>
    <w:rsid w:val="007201FF"/>
    <w:rsid w:val="007204CD"/>
    <w:rsid w:val="00720B92"/>
    <w:rsid w:val="0072113A"/>
    <w:rsid w:val="00721B6C"/>
    <w:rsid w:val="0072292D"/>
    <w:rsid w:val="00724384"/>
    <w:rsid w:val="007248FB"/>
    <w:rsid w:val="007268B8"/>
    <w:rsid w:val="00727438"/>
    <w:rsid w:val="007277FA"/>
    <w:rsid w:val="007279FC"/>
    <w:rsid w:val="00727FDD"/>
    <w:rsid w:val="00730009"/>
    <w:rsid w:val="00732CA2"/>
    <w:rsid w:val="007335A4"/>
    <w:rsid w:val="007343E3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42C7"/>
    <w:rsid w:val="00764BD4"/>
    <w:rsid w:val="0076592E"/>
    <w:rsid w:val="00765FE5"/>
    <w:rsid w:val="0076614F"/>
    <w:rsid w:val="0076615E"/>
    <w:rsid w:val="00767B8C"/>
    <w:rsid w:val="00770CB2"/>
    <w:rsid w:val="00771030"/>
    <w:rsid w:val="00771577"/>
    <w:rsid w:val="00771E0F"/>
    <w:rsid w:val="00774710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6A56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8CB"/>
    <w:rsid w:val="007A1D6E"/>
    <w:rsid w:val="007A2E49"/>
    <w:rsid w:val="007A37D9"/>
    <w:rsid w:val="007A3D9F"/>
    <w:rsid w:val="007A48A4"/>
    <w:rsid w:val="007A4FA1"/>
    <w:rsid w:val="007A536A"/>
    <w:rsid w:val="007A53CC"/>
    <w:rsid w:val="007A60DB"/>
    <w:rsid w:val="007A697F"/>
    <w:rsid w:val="007A73DA"/>
    <w:rsid w:val="007A7FEE"/>
    <w:rsid w:val="007B15F5"/>
    <w:rsid w:val="007B1683"/>
    <w:rsid w:val="007B2F0F"/>
    <w:rsid w:val="007B326E"/>
    <w:rsid w:val="007B3523"/>
    <w:rsid w:val="007B595A"/>
    <w:rsid w:val="007B5CD6"/>
    <w:rsid w:val="007B5D88"/>
    <w:rsid w:val="007B6D67"/>
    <w:rsid w:val="007B6F23"/>
    <w:rsid w:val="007B7213"/>
    <w:rsid w:val="007C0191"/>
    <w:rsid w:val="007C17D9"/>
    <w:rsid w:val="007C22B1"/>
    <w:rsid w:val="007C2891"/>
    <w:rsid w:val="007C4EBD"/>
    <w:rsid w:val="007C65AC"/>
    <w:rsid w:val="007C685A"/>
    <w:rsid w:val="007C6FA2"/>
    <w:rsid w:val="007D0177"/>
    <w:rsid w:val="007D0207"/>
    <w:rsid w:val="007D1DA6"/>
    <w:rsid w:val="007D21D5"/>
    <w:rsid w:val="007D2491"/>
    <w:rsid w:val="007D4BF5"/>
    <w:rsid w:val="007D5B02"/>
    <w:rsid w:val="007D75CA"/>
    <w:rsid w:val="007D7D54"/>
    <w:rsid w:val="007E0741"/>
    <w:rsid w:val="007E0E03"/>
    <w:rsid w:val="007E0EB7"/>
    <w:rsid w:val="007E0F32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31BA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152BB"/>
    <w:rsid w:val="00821694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25"/>
    <w:rsid w:val="008263B6"/>
    <w:rsid w:val="00826B39"/>
    <w:rsid w:val="00827736"/>
    <w:rsid w:val="008277BE"/>
    <w:rsid w:val="00830D70"/>
    <w:rsid w:val="00830E6A"/>
    <w:rsid w:val="00830EE9"/>
    <w:rsid w:val="00830F08"/>
    <w:rsid w:val="0083282A"/>
    <w:rsid w:val="00834D5B"/>
    <w:rsid w:val="00836B0A"/>
    <w:rsid w:val="0083703F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6E1"/>
    <w:rsid w:val="00851C0D"/>
    <w:rsid w:val="00851F39"/>
    <w:rsid w:val="00852876"/>
    <w:rsid w:val="00852939"/>
    <w:rsid w:val="00852E6A"/>
    <w:rsid w:val="008538A4"/>
    <w:rsid w:val="008553EB"/>
    <w:rsid w:val="008557FD"/>
    <w:rsid w:val="00855CF0"/>
    <w:rsid w:val="00855F4B"/>
    <w:rsid w:val="00857390"/>
    <w:rsid w:val="008579F8"/>
    <w:rsid w:val="00860DF6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343"/>
    <w:rsid w:val="00864DF5"/>
    <w:rsid w:val="0086616C"/>
    <w:rsid w:val="008668AF"/>
    <w:rsid w:val="00866B18"/>
    <w:rsid w:val="00866E56"/>
    <w:rsid w:val="00871A68"/>
    <w:rsid w:val="00872CC5"/>
    <w:rsid w:val="00872F26"/>
    <w:rsid w:val="0087383B"/>
    <w:rsid w:val="00873DE7"/>
    <w:rsid w:val="008749B4"/>
    <w:rsid w:val="0087508C"/>
    <w:rsid w:val="0087651F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866CE"/>
    <w:rsid w:val="00887E1C"/>
    <w:rsid w:val="00890269"/>
    <w:rsid w:val="008908DD"/>
    <w:rsid w:val="008911A8"/>
    <w:rsid w:val="0089158F"/>
    <w:rsid w:val="00891F3F"/>
    <w:rsid w:val="00895E5D"/>
    <w:rsid w:val="00896BE4"/>
    <w:rsid w:val="008A004D"/>
    <w:rsid w:val="008A0ABC"/>
    <w:rsid w:val="008A2551"/>
    <w:rsid w:val="008A4328"/>
    <w:rsid w:val="008A4403"/>
    <w:rsid w:val="008A4434"/>
    <w:rsid w:val="008A4A3D"/>
    <w:rsid w:val="008A4E4D"/>
    <w:rsid w:val="008A546F"/>
    <w:rsid w:val="008A6702"/>
    <w:rsid w:val="008A78E8"/>
    <w:rsid w:val="008B0A41"/>
    <w:rsid w:val="008B0F3E"/>
    <w:rsid w:val="008B1006"/>
    <w:rsid w:val="008B18B7"/>
    <w:rsid w:val="008B2CDA"/>
    <w:rsid w:val="008B510E"/>
    <w:rsid w:val="008B5C25"/>
    <w:rsid w:val="008B63CD"/>
    <w:rsid w:val="008B727A"/>
    <w:rsid w:val="008B74F2"/>
    <w:rsid w:val="008B7A5B"/>
    <w:rsid w:val="008C04CC"/>
    <w:rsid w:val="008C20B8"/>
    <w:rsid w:val="008C2B42"/>
    <w:rsid w:val="008C37CF"/>
    <w:rsid w:val="008C41F0"/>
    <w:rsid w:val="008C5683"/>
    <w:rsid w:val="008C5C6C"/>
    <w:rsid w:val="008C675F"/>
    <w:rsid w:val="008D163D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A28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686"/>
    <w:rsid w:val="008F4BE8"/>
    <w:rsid w:val="008F55A6"/>
    <w:rsid w:val="008F583A"/>
    <w:rsid w:val="008F58BC"/>
    <w:rsid w:val="009011FB"/>
    <w:rsid w:val="00903EF6"/>
    <w:rsid w:val="00910F9B"/>
    <w:rsid w:val="00912431"/>
    <w:rsid w:val="00912C96"/>
    <w:rsid w:val="00913637"/>
    <w:rsid w:val="00913F79"/>
    <w:rsid w:val="0091506C"/>
    <w:rsid w:val="009157CC"/>
    <w:rsid w:val="00916000"/>
    <w:rsid w:val="0091664F"/>
    <w:rsid w:val="00917382"/>
    <w:rsid w:val="00917784"/>
    <w:rsid w:val="009201B4"/>
    <w:rsid w:val="009232D8"/>
    <w:rsid w:val="009247E0"/>
    <w:rsid w:val="00925BF4"/>
    <w:rsid w:val="009278E2"/>
    <w:rsid w:val="00927ADB"/>
    <w:rsid w:val="00930C5B"/>
    <w:rsid w:val="00931167"/>
    <w:rsid w:val="00931244"/>
    <w:rsid w:val="00931702"/>
    <w:rsid w:val="00932B3D"/>
    <w:rsid w:val="00932D8F"/>
    <w:rsid w:val="00933451"/>
    <w:rsid w:val="00933BAB"/>
    <w:rsid w:val="00933D61"/>
    <w:rsid w:val="00934415"/>
    <w:rsid w:val="009349F9"/>
    <w:rsid w:val="00935012"/>
    <w:rsid w:val="009364DC"/>
    <w:rsid w:val="00936B09"/>
    <w:rsid w:val="0093736B"/>
    <w:rsid w:val="009374B0"/>
    <w:rsid w:val="009376C3"/>
    <w:rsid w:val="00937721"/>
    <w:rsid w:val="00937824"/>
    <w:rsid w:val="0094111B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5B61"/>
    <w:rsid w:val="00946949"/>
    <w:rsid w:val="009469C6"/>
    <w:rsid w:val="00946C11"/>
    <w:rsid w:val="0094790D"/>
    <w:rsid w:val="00947A97"/>
    <w:rsid w:val="00947EB8"/>
    <w:rsid w:val="0095035F"/>
    <w:rsid w:val="00950533"/>
    <w:rsid w:val="0095076B"/>
    <w:rsid w:val="009510DD"/>
    <w:rsid w:val="00951330"/>
    <w:rsid w:val="00951BCC"/>
    <w:rsid w:val="0095390B"/>
    <w:rsid w:val="00953B0C"/>
    <w:rsid w:val="009544BD"/>
    <w:rsid w:val="00960260"/>
    <w:rsid w:val="009606C0"/>
    <w:rsid w:val="00961A08"/>
    <w:rsid w:val="00961E82"/>
    <w:rsid w:val="0096320A"/>
    <w:rsid w:val="00963B2A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0E41"/>
    <w:rsid w:val="00981487"/>
    <w:rsid w:val="009818E0"/>
    <w:rsid w:val="00981EFD"/>
    <w:rsid w:val="009823C8"/>
    <w:rsid w:val="00982B47"/>
    <w:rsid w:val="00984492"/>
    <w:rsid w:val="00985162"/>
    <w:rsid w:val="0098733D"/>
    <w:rsid w:val="00990C57"/>
    <w:rsid w:val="009919D7"/>
    <w:rsid w:val="00991E81"/>
    <w:rsid w:val="0099283F"/>
    <w:rsid w:val="009936EA"/>
    <w:rsid w:val="00993B41"/>
    <w:rsid w:val="0099408F"/>
    <w:rsid w:val="00994545"/>
    <w:rsid w:val="00994951"/>
    <w:rsid w:val="009949B0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7BE"/>
    <w:rsid w:val="009B0CED"/>
    <w:rsid w:val="009B42DD"/>
    <w:rsid w:val="009B499A"/>
    <w:rsid w:val="009B5E2C"/>
    <w:rsid w:val="009B6ADB"/>
    <w:rsid w:val="009B7481"/>
    <w:rsid w:val="009B7CC7"/>
    <w:rsid w:val="009C0A60"/>
    <w:rsid w:val="009C0A8B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28EC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F6A"/>
    <w:rsid w:val="009E60BB"/>
    <w:rsid w:val="009E6103"/>
    <w:rsid w:val="009E6495"/>
    <w:rsid w:val="009E6CFA"/>
    <w:rsid w:val="009E7F45"/>
    <w:rsid w:val="009E7F86"/>
    <w:rsid w:val="009F0B8D"/>
    <w:rsid w:val="009F0CA1"/>
    <w:rsid w:val="009F1DC2"/>
    <w:rsid w:val="009F1E00"/>
    <w:rsid w:val="009F2046"/>
    <w:rsid w:val="009F20FC"/>
    <w:rsid w:val="009F3981"/>
    <w:rsid w:val="009F39BF"/>
    <w:rsid w:val="009F3D75"/>
    <w:rsid w:val="009F4230"/>
    <w:rsid w:val="009F5856"/>
    <w:rsid w:val="009F5C94"/>
    <w:rsid w:val="009F7803"/>
    <w:rsid w:val="009F7FFE"/>
    <w:rsid w:val="00A00BA4"/>
    <w:rsid w:val="00A01782"/>
    <w:rsid w:val="00A022D7"/>
    <w:rsid w:val="00A02532"/>
    <w:rsid w:val="00A0361F"/>
    <w:rsid w:val="00A0456F"/>
    <w:rsid w:val="00A0485D"/>
    <w:rsid w:val="00A04A81"/>
    <w:rsid w:val="00A0597F"/>
    <w:rsid w:val="00A0624F"/>
    <w:rsid w:val="00A06F60"/>
    <w:rsid w:val="00A07D8D"/>
    <w:rsid w:val="00A10079"/>
    <w:rsid w:val="00A109B2"/>
    <w:rsid w:val="00A10BF5"/>
    <w:rsid w:val="00A136AF"/>
    <w:rsid w:val="00A13C61"/>
    <w:rsid w:val="00A1409D"/>
    <w:rsid w:val="00A149F3"/>
    <w:rsid w:val="00A152DB"/>
    <w:rsid w:val="00A152FE"/>
    <w:rsid w:val="00A17587"/>
    <w:rsid w:val="00A177FF"/>
    <w:rsid w:val="00A203D2"/>
    <w:rsid w:val="00A20DD9"/>
    <w:rsid w:val="00A210B5"/>
    <w:rsid w:val="00A218B1"/>
    <w:rsid w:val="00A222C3"/>
    <w:rsid w:val="00A22CA5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6575"/>
    <w:rsid w:val="00A36E1F"/>
    <w:rsid w:val="00A37F77"/>
    <w:rsid w:val="00A40F45"/>
    <w:rsid w:val="00A41999"/>
    <w:rsid w:val="00A4280F"/>
    <w:rsid w:val="00A44768"/>
    <w:rsid w:val="00A44AD7"/>
    <w:rsid w:val="00A45554"/>
    <w:rsid w:val="00A46D3D"/>
    <w:rsid w:val="00A50AAE"/>
    <w:rsid w:val="00A52D33"/>
    <w:rsid w:val="00A531F4"/>
    <w:rsid w:val="00A53487"/>
    <w:rsid w:val="00A535E7"/>
    <w:rsid w:val="00A53D53"/>
    <w:rsid w:val="00A5448D"/>
    <w:rsid w:val="00A54B8B"/>
    <w:rsid w:val="00A554FE"/>
    <w:rsid w:val="00A5570D"/>
    <w:rsid w:val="00A55955"/>
    <w:rsid w:val="00A55C06"/>
    <w:rsid w:val="00A55E10"/>
    <w:rsid w:val="00A571CD"/>
    <w:rsid w:val="00A57BA4"/>
    <w:rsid w:val="00A60919"/>
    <w:rsid w:val="00A616CF"/>
    <w:rsid w:val="00A61A87"/>
    <w:rsid w:val="00A61FA7"/>
    <w:rsid w:val="00A62378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0185"/>
    <w:rsid w:val="00A71999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02F"/>
    <w:rsid w:val="00A824B9"/>
    <w:rsid w:val="00A82AEA"/>
    <w:rsid w:val="00A84817"/>
    <w:rsid w:val="00A86EB6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8CA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A763A"/>
    <w:rsid w:val="00AB008A"/>
    <w:rsid w:val="00AB13C5"/>
    <w:rsid w:val="00AB205A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1BD2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1EB1"/>
    <w:rsid w:val="00AE24DB"/>
    <w:rsid w:val="00AE2D8D"/>
    <w:rsid w:val="00AE2F46"/>
    <w:rsid w:val="00AE3C39"/>
    <w:rsid w:val="00AE68FD"/>
    <w:rsid w:val="00AE728C"/>
    <w:rsid w:val="00AF0D16"/>
    <w:rsid w:val="00AF1338"/>
    <w:rsid w:val="00AF309D"/>
    <w:rsid w:val="00AF34D2"/>
    <w:rsid w:val="00AF36F9"/>
    <w:rsid w:val="00AF415E"/>
    <w:rsid w:val="00AF48A6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C6"/>
    <w:rsid w:val="00B17738"/>
    <w:rsid w:val="00B17FA1"/>
    <w:rsid w:val="00B22E72"/>
    <w:rsid w:val="00B22E8F"/>
    <w:rsid w:val="00B23B18"/>
    <w:rsid w:val="00B24550"/>
    <w:rsid w:val="00B25864"/>
    <w:rsid w:val="00B2613C"/>
    <w:rsid w:val="00B261AB"/>
    <w:rsid w:val="00B2703B"/>
    <w:rsid w:val="00B27A86"/>
    <w:rsid w:val="00B27EDF"/>
    <w:rsid w:val="00B3061F"/>
    <w:rsid w:val="00B30A09"/>
    <w:rsid w:val="00B30D9E"/>
    <w:rsid w:val="00B30DA9"/>
    <w:rsid w:val="00B30EA3"/>
    <w:rsid w:val="00B3297D"/>
    <w:rsid w:val="00B348B2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47812"/>
    <w:rsid w:val="00B479E0"/>
    <w:rsid w:val="00B50890"/>
    <w:rsid w:val="00B50CAE"/>
    <w:rsid w:val="00B50FEC"/>
    <w:rsid w:val="00B51EAF"/>
    <w:rsid w:val="00B5259D"/>
    <w:rsid w:val="00B52EB8"/>
    <w:rsid w:val="00B537B5"/>
    <w:rsid w:val="00B53879"/>
    <w:rsid w:val="00B54111"/>
    <w:rsid w:val="00B54F2A"/>
    <w:rsid w:val="00B558F7"/>
    <w:rsid w:val="00B55B04"/>
    <w:rsid w:val="00B56370"/>
    <w:rsid w:val="00B56391"/>
    <w:rsid w:val="00B56ED3"/>
    <w:rsid w:val="00B57469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416E"/>
    <w:rsid w:val="00B7479D"/>
    <w:rsid w:val="00B74CC9"/>
    <w:rsid w:val="00B75A56"/>
    <w:rsid w:val="00B7619B"/>
    <w:rsid w:val="00B76ECC"/>
    <w:rsid w:val="00B77DC9"/>
    <w:rsid w:val="00B800C3"/>
    <w:rsid w:val="00B80DA6"/>
    <w:rsid w:val="00B8102C"/>
    <w:rsid w:val="00B82DAE"/>
    <w:rsid w:val="00B8532A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936E5"/>
    <w:rsid w:val="00B9398A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4D14"/>
    <w:rsid w:val="00BA5DAE"/>
    <w:rsid w:val="00BA5FA5"/>
    <w:rsid w:val="00BA5FD4"/>
    <w:rsid w:val="00BB0377"/>
    <w:rsid w:val="00BB08EF"/>
    <w:rsid w:val="00BB104E"/>
    <w:rsid w:val="00BB205B"/>
    <w:rsid w:val="00BB295F"/>
    <w:rsid w:val="00BB2B8A"/>
    <w:rsid w:val="00BB32E7"/>
    <w:rsid w:val="00BB445A"/>
    <w:rsid w:val="00BB489F"/>
    <w:rsid w:val="00BB4A20"/>
    <w:rsid w:val="00BB53A3"/>
    <w:rsid w:val="00BB59AD"/>
    <w:rsid w:val="00BB612C"/>
    <w:rsid w:val="00BB6944"/>
    <w:rsid w:val="00BB7CC9"/>
    <w:rsid w:val="00BC1599"/>
    <w:rsid w:val="00BC2F8F"/>
    <w:rsid w:val="00BC2FA3"/>
    <w:rsid w:val="00BC31CA"/>
    <w:rsid w:val="00BC3B39"/>
    <w:rsid w:val="00BC3E44"/>
    <w:rsid w:val="00BC4E12"/>
    <w:rsid w:val="00BC62F8"/>
    <w:rsid w:val="00BD01F2"/>
    <w:rsid w:val="00BD03BF"/>
    <w:rsid w:val="00BD081F"/>
    <w:rsid w:val="00BD2542"/>
    <w:rsid w:val="00BD28E3"/>
    <w:rsid w:val="00BD2A03"/>
    <w:rsid w:val="00BD2A7B"/>
    <w:rsid w:val="00BD3EB1"/>
    <w:rsid w:val="00BD4AFF"/>
    <w:rsid w:val="00BE0378"/>
    <w:rsid w:val="00BE03C7"/>
    <w:rsid w:val="00BE05A5"/>
    <w:rsid w:val="00BE08C0"/>
    <w:rsid w:val="00BE0E7B"/>
    <w:rsid w:val="00BE140A"/>
    <w:rsid w:val="00BE363B"/>
    <w:rsid w:val="00BE37FA"/>
    <w:rsid w:val="00BE3D99"/>
    <w:rsid w:val="00BE58CF"/>
    <w:rsid w:val="00BE5B46"/>
    <w:rsid w:val="00BE6E0A"/>
    <w:rsid w:val="00BE6FDB"/>
    <w:rsid w:val="00BF0616"/>
    <w:rsid w:val="00BF09DA"/>
    <w:rsid w:val="00BF17F7"/>
    <w:rsid w:val="00BF1B8A"/>
    <w:rsid w:val="00BF2018"/>
    <w:rsid w:val="00BF20AB"/>
    <w:rsid w:val="00BF269F"/>
    <w:rsid w:val="00BF2F55"/>
    <w:rsid w:val="00BF318E"/>
    <w:rsid w:val="00BF4BD8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281"/>
    <w:rsid w:val="00C1757D"/>
    <w:rsid w:val="00C176E2"/>
    <w:rsid w:val="00C1793A"/>
    <w:rsid w:val="00C17EE1"/>
    <w:rsid w:val="00C20330"/>
    <w:rsid w:val="00C20BE0"/>
    <w:rsid w:val="00C2190D"/>
    <w:rsid w:val="00C21E40"/>
    <w:rsid w:val="00C227D9"/>
    <w:rsid w:val="00C22E47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47CF"/>
    <w:rsid w:val="00C34CE4"/>
    <w:rsid w:val="00C357C2"/>
    <w:rsid w:val="00C3689B"/>
    <w:rsid w:val="00C3699B"/>
    <w:rsid w:val="00C36C45"/>
    <w:rsid w:val="00C377AC"/>
    <w:rsid w:val="00C37D84"/>
    <w:rsid w:val="00C418E3"/>
    <w:rsid w:val="00C425E5"/>
    <w:rsid w:val="00C4340F"/>
    <w:rsid w:val="00C43C95"/>
    <w:rsid w:val="00C441AE"/>
    <w:rsid w:val="00C44798"/>
    <w:rsid w:val="00C44E71"/>
    <w:rsid w:val="00C4530B"/>
    <w:rsid w:val="00C45A62"/>
    <w:rsid w:val="00C468E6"/>
    <w:rsid w:val="00C46B6D"/>
    <w:rsid w:val="00C46C02"/>
    <w:rsid w:val="00C46E05"/>
    <w:rsid w:val="00C47A9E"/>
    <w:rsid w:val="00C50D4F"/>
    <w:rsid w:val="00C50DF7"/>
    <w:rsid w:val="00C51259"/>
    <w:rsid w:val="00C51329"/>
    <w:rsid w:val="00C518B5"/>
    <w:rsid w:val="00C52E95"/>
    <w:rsid w:val="00C53525"/>
    <w:rsid w:val="00C53DE3"/>
    <w:rsid w:val="00C546BA"/>
    <w:rsid w:val="00C547E7"/>
    <w:rsid w:val="00C556FE"/>
    <w:rsid w:val="00C55FEB"/>
    <w:rsid w:val="00C57074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8022F"/>
    <w:rsid w:val="00C80EDB"/>
    <w:rsid w:val="00C811AB"/>
    <w:rsid w:val="00C8128B"/>
    <w:rsid w:val="00C81353"/>
    <w:rsid w:val="00C81760"/>
    <w:rsid w:val="00C82825"/>
    <w:rsid w:val="00C82CE3"/>
    <w:rsid w:val="00C830AF"/>
    <w:rsid w:val="00C847E0"/>
    <w:rsid w:val="00C84A84"/>
    <w:rsid w:val="00C857DB"/>
    <w:rsid w:val="00C85FB0"/>
    <w:rsid w:val="00C86086"/>
    <w:rsid w:val="00C91904"/>
    <w:rsid w:val="00C91F89"/>
    <w:rsid w:val="00C921B2"/>
    <w:rsid w:val="00C93E20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68E"/>
    <w:rsid w:val="00CA31A3"/>
    <w:rsid w:val="00CA6D70"/>
    <w:rsid w:val="00CA74DB"/>
    <w:rsid w:val="00CA77C0"/>
    <w:rsid w:val="00CA7A34"/>
    <w:rsid w:val="00CB0187"/>
    <w:rsid w:val="00CB2178"/>
    <w:rsid w:val="00CB2C42"/>
    <w:rsid w:val="00CB3F7B"/>
    <w:rsid w:val="00CB5A97"/>
    <w:rsid w:val="00CB6A03"/>
    <w:rsid w:val="00CC00B9"/>
    <w:rsid w:val="00CC0551"/>
    <w:rsid w:val="00CC07A7"/>
    <w:rsid w:val="00CC0EC7"/>
    <w:rsid w:val="00CC3D4D"/>
    <w:rsid w:val="00CC6806"/>
    <w:rsid w:val="00CC6EBE"/>
    <w:rsid w:val="00CC7711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20B9"/>
    <w:rsid w:val="00CE418E"/>
    <w:rsid w:val="00CE4811"/>
    <w:rsid w:val="00CE5A79"/>
    <w:rsid w:val="00CE5D9D"/>
    <w:rsid w:val="00CE6CEC"/>
    <w:rsid w:val="00CE6DE4"/>
    <w:rsid w:val="00CE73C9"/>
    <w:rsid w:val="00CE7B3C"/>
    <w:rsid w:val="00CE7F94"/>
    <w:rsid w:val="00CF1A9F"/>
    <w:rsid w:val="00CF28BB"/>
    <w:rsid w:val="00CF32E1"/>
    <w:rsid w:val="00CF7272"/>
    <w:rsid w:val="00CF77D3"/>
    <w:rsid w:val="00CF78F0"/>
    <w:rsid w:val="00CF7C08"/>
    <w:rsid w:val="00CF7ECE"/>
    <w:rsid w:val="00D00375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1538"/>
    <w:rsid w:val="00D1313E"/>
    <w:rsid w:val="00D137DF"/>
    <w:rsid w:val="00D141B7"/>
    <w:rsid w:val="00D15082"/>
    <w:rsid w:val="00D155C0"/>
    <w:rsid w:val="00D158E7"/>
    <w:rsid w:val="00D163AF"/>
    <w:rsid w:val="00D16DE6"/>
    <w:rsid w:val="00D20E35"/>
    <w:rsid w:val="00D20EE0"/>
    <w:rsid w:val="00D21A78"/>
    <w:rsid w:val="00D21D0E"/>
    <w:rsid w:val="00D22C04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DA4"/>
    <w:rsid w:val="00D26E33"/>
    <w:rsid w:val="00D3082A"/>
    <w:rsid w:val="00D32D89"/>
    <w:rsid w:val="00D32FC2"/>
    <w:rsid w:val="00D33BDC"/>
    <w:rsid w:val="00D33C3F"/>
    <w:rsid w:val="00D34A02"/>
    <w:rsid w:val="00D34DDD"/>
    <w:rsid w:val="00D34F18"/>
    <w:rsid w:val="00D366D9"/>
    <w:rsid w:val="00D36B00"/>
    <w:rsid w:val="00D36BC4"/>
    <w:rsid w:val="00D40273"/>
    <w:rsid w:val="00D40C33"/>
    <w:rsid w:val="00D41927"/>
    <w:rsid w:val="00D42AAB"/>
    <w:rsid w:val="00D437EF"/>
    <w:rsid w:val="00D43CE7"/>
    <w:rsid w:val="00D44330"/>
    <w:rsid w:val="00D45E58"/>
    <w:rsid w:val="00D47D6B"/>
    <w:rsid w:val="00D5096B"/>
    <w:rsid w:val="00D5239D"/>
    <w:rsid w:val="00D54490"/>
    <w:rsid w:val="00D546CF"/>
    <w:rsid w:val="00D549C7"/>
    <w:rsid w:val="00D54A75"/>
    <w:rsid w:val="00D55337"/>
    <w:rsid w:val="00D55A7B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383"/>
    <w:rsid w:val="00D7638B"/>
    <w:rsid w:val="00D76C5D"/>
    <w:rsid w:val="00D773BF"/>
    <w:rsid w:val="00D824F0"/>
    <w:rsid w:val="00D847B8"/>
    <w:rsid w:val="00D85AAE"/>
    <w:rsid w:val="00D85CE8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BB1"/>
    <w:rsid w:val="00DA2171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C01"/>
    <w:rsid w:val="00DB234B"/>
    <w:rsid w:val="00DB2413"/>
    <w:rsid w:val="00DB3246"/>
    <w:rsid w:val="00DB4010"/>
    <w:rsid w:val="00DB434E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24E5"/>
    <w:rsid w:val="00DC2AF1"/>
    <w:rsid w:val="00DC3181"/>
    <w:rsid w:val="00DC3E01"/>
    <w:rsid w:val="00DC4D73"/>
    <w:rsid w:val="00DC52B7"/>
    <w:rsid w:val="00DC5470"/>
    <w:rsid w:val="00DC69A6"/>
    <w:rsid w:val="00DC6E7D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96A"/>
    <w:rsid w:val="00DE6E07"/>
    <w:rsid w:val="00DE6E21"/>
    <w:rsid w:val="00DE6FAA"/>
    <w:rsid w:val="00DF1644"/>
    <w:rsid w:val="00DF1957"/>
    <w:rsid w:val="00DF24F3"/>
    <w:rsid w:val="00DF4876"/>
    <w:rsid w:val="00DF5139"/>
    <w:rsid w:val="00DF5EBB"/>
    <w:rsid w:val="00DF5FFE"/>
    <w:rsid w:val="00E008A6"/>
    <w:rsid w:val="00E0238E"/>
    <w:rsid w:val="00E02812"/>
    <w:rsid w:val="00E06194"/>
    <w:rsid w:val="00E06FCA"/>
    <w:rsid w:val="00E07018"/>
    <w:rsid w:val="00E079BD"/>
    <w:rsid w:val="00E07E60"/>
    <w:rsid w:val="00E109B3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0C19"/>
    <w:rsid w:val="00E21458"/>
    <w:rsid w:val="00E21589"/>
    <w:rsid w:val="00E24B1D"/>
    <w:rsid w:val="00E25013"/>
    <w:rsid w:val="00E2586E"/>
    <w:rsid w:val="00E2599C"/>
    <w:rsid w:val="00E25B27"/>
    <w:rsid w:val="00E26954"/>
    <w:rsid w:val="00E3007C"/>
    <w:rsid w:val="00E303CA"/>
    <w:rsid w:val="00E30910"/>
    <w:rsid w:val="00E31718"/>
    <w:rsid w:val="00E31F7F"/>
    <w:rsid w:val="00E323EC"/>
    <w:rsid w:val="00E324C8"/>
    <w:rsid w:val="00E32C62"/>
    <w:rsid w:val="00E32C69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FD"/>
    <w:rsid w:val="00E40459"/>
    <w:rsid w:val="00E40932"/>
    <w:rsid w:val="00E40FD9"/>
    <w:rsid w:val="00E412F4"/>
    <w:rsid w:val="00E4179E"/>
    <w:rsid w:val="00E41973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09C"/>
    <w:rsid w:val="00E50D3E"/>
    <w:rsid w:val="00E51AB0"/>
    <w:rsid w:val="00E5269B"/>
    <w:rsid w:val="00E53295"/>
    <w:rsid w:val="00E53D0F"/>
    <w:rsid w:val="00E5530D"/>
    <w:rsid w:val="00E55C5E"/>
    <w:rsid w:val="00E56278"/>
    <w:rsid w:val="00E576E5"/>
    <w:rsid w:val="00E60757"/>
    <w:rsid w:val="00E61670"/>
    <w:rsid w:val="00E61B18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BC4"/>
    <w:rsid w:val="00E73E53"/>
    <w:rsid w:val="00E74DF1"/>
    <w:rsid w:val="00E75779"/>
    <w:rsid w:val="00E7582D"/>
    <w:rsid w:val="00E759B5"/>
    <w:rsid w:val="00E76362"/>
    <w:rsid w:val="00E77567"/>
    <w:rsid w:val="00E802EB"/>
    <w:rsid w:val="00E8055C"/>
    <w:rsid w:val="00E81E89"/>
    <w:rsid w:val="00E82543"/>
    <w:rsid w:val="00E86C30"/>
    <w:rsid w:val="00E9166F"/>
    <w:rsid w:val="00E9200D"/>
    <w:rsid w:val="00E92392"/>
    <w:rsid w:val="00E92692"/>
    <w:rsid w:val="00E927AB"/>
    <w:rsid w:val="00E92883"/>
    <w:rsid w:val="00E92A77"/>
    <w:rsid w:val="00E931D8"/>
    <w:rsid w:val="00E93898"/>
    <w:rsid w:val="00E95604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212E"/>
    <w:rsid w:val="00EA2238"/>
    <w:rsid w:val="00EA2576"/>
    <w:rsid w:val="00EA2738"/>
    <w:rsid w:val="00EA332A"/>
    <w:rsid w:val="00EA5560"/>
    <w:rsid w:val="00EA5A98"/>
    <w:rsid w:val="00EA6FE3"/>
    <w:rsid w:val="00EA7175"/>
    <w:rsid w:val="00EA7A4B"/>
    <w:rsid w:val="00EB00AA"/>
    <w:rsid w:val="00EB0BC4"/>
    <w:rsid w:val="00EB29F4"/>
    <w:rsid w:val="00EB2F26"/>
    <w:rsid w:val="00EB3F38"/>
    <w:rsid w:val="00EB4402"/>
    <w:rsid w:val="00EB4926"/>
    <w:rsid w:val="00EB4E0C"/>
    <w:rsid w:val="00EB575E"/>
    <w:rsid w:val="00EB73A4"/>
    <w:rsid w:val="00EB7928"/>
    <w:rsid w:val="00EC038C"/>
    <w:rsid w:val="00EC0497"/>
    <w:rsid w:val="00EC04A2"/>
    <w:rsid w:val="00EC11F7"/>
    <w:rsid w:val="00EC25F6"/>
    <w:rsid w:val="00EC3BA6"/>
    <w:rsid w:val="00EC4C64"/>
    <w:rsid w:val="00EC51C4"/>
    <w:rsid w:val="00EC550A"/>
    <w:rsid w:val="00EC696F"/>
    <w:rsid w:val="00EC7AF8"/>
    <w:rsid w:val="00EC7C0D"/>
    <w:rsid w:val="00ED02D3"/>
    <w:rsid w:val="00ED0B91"/>
    <w:rsid w:val="00ED23A9"/>
    <w:rsid w:val="00ED2818"/>
    <w:rsid w:val="00ED2C12"/>
    <w:rsid w:val="00ED2D7F"/>
    <w:rsid w:val="00ED34EB"/>
    <w:rsid w:val="00ED5512"/>
    <w:rsid w:val="00ED5E6F"/>
    <w:rsid w:val="00ED5F83"/>
    <w:rsid w:val="00ED6C47"/>
    <w:rsid w:val="00ED6FD7"/>
    <w:rsid w:val="00ED73EA"/>
    <w:rsid w:val="00ED7FC0"/>
    <w:rsid w:val="00EE039C"/>
    <w:rsid w:val="00EE0F18"/>
    <w:rsid w:val="00EE1502"/>
    <w:rsid w:val="00EE33EA"/>
    <w:rsid w:val="00EE41B2"/>
    <w:rsid w:val="00EE504E"/>
    <w:rsid w:val="00EE66CB"/>
    <w:rsid w:val="00EE76B9"/>
    <w:rsid w:val="00EF0CFF"/>
    <w:rsid w:val="00EF1D77"/>
    <w:rsid w:val="00EF1F33"/>
    <w:rsid w:val="00EF237F"/>
    <w:rsid w:val="00EF33B7"/>
    <w:rsid w:val="00EF387C"/>
    <w:rsid w:val="00EF388D"/>
    <w:rsid w:val="00EF38EB"/>
    <w:rsid w:val="00EF449A"/>
    <w:rsid w:val="00EF55FC"/>
    <w:rsid w:val="00EF6A09"/>
    <w:rsid w:val="00EF6FB6"/>
    <w:rsid w:val="00EF78F6"/>
    <w:rsid w:val="00EF7C3F"/>
    <w:rsid w:val="00F013FE"/>
    <w:rsid w:val="00F01928"/>
    <w:rsid w:val="00F02413"/>
    <w:rsid w:val="00F0331E"/>
    <w:rsid w:val="00F0579F"/>
    <w:rsid w:val="00F0588E"/>
    <w:rsid w:val="00F0608F"/>
    <w:rsid w:val="00F06B63"/>
    <w:rsid w:val="00F077BE"/>
    <w:rsid w:val="00F10382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17588"/>
    <w:rsid w:val="00F20179"/>
    <w:rsid w:val="00F20682"/>
    <w:rsid w:val="00F20990"/>
    <w:rsid w:val="00F20AD4"/>
    <w:rsid w:val="00F2104B"/>
    <w:rsid w:val="00F212EB"/>
    <w:rsid w:val="00F21F4C"/>
    <w:rsid w:val="00F22E3D"/>
    <w:rsid w:val="00F2323C"/>
    <w:rsid w:val="00F239A0"/>
    <w:rsid w:val="00F23D03"/>
    <w:rsid w:val="00F259CA"/>
    <w:rsid w:val="00F27B2B"/>
    <w:rsid w:val="00F30E6A"/>
    <w:rsid w:val="00F30FA7"/>
    <w:rsid w:val="00F31CC9"/>
    <w:rsid w:val="00F32A19"/>
    <w:rsid w:val="00F32EBE"/>
    <w:rsid w:val="00F33E81"/>
    <w:rsid w:val="00F34E4F"/>
    <w:rsid w:val="00F35089"/>
    <w:rsid w:val="00F3571E"/>
    <w:rsid w:val="00F35BB3"/>
    <w:rsid w:val="00F36136"/>
    <w:rsid w:val="00F365BF"/>
    <w:rsid w:val="00F37F25"/>
    <w:rsid w:val="00F42B5E"/>
    <w:rsid w:val="00F4391E"/>
    <w:rsid w:val="00F44093"/>
    <w:rsid w:val="00F44B91"/>
    <w:rsid w:val="00F456C0"/>
    <w:rsid w:val="00F47033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2A0"/>
    <w:rsid w:val="00F64E71"/>
    <w:rsid w:val="00F656F5"/>
    <w:rsid w:val="00F65A54"/>
    <w:rsid w:val="00F66708"/>
    <w:rsid w:val="00F6755D"/>
    <w:rsid w:val="00F67A1B"/>
    <w:rsid w:val="00F67FE3"/>
    <w:rsid w:val="00F702F3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4D06"/>
    <w:rsid w:val="00F86E62"/>
    <w:rsid w:val="00F8704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31"/>
    <w:rsid w:val="00FA42DB"/>
    <w:rsid w:val="00FA76B2"/>
    <w:rsid w:val="00FA7B2F"/>
    <w:rsid w:val="00FB0388"/>
    <w:rsid w:val="00FB0904"/>
    <w:rsid w:val="00FB16FB"/>
    <w:rsid w:val="00FB345E"/>
    <w:rsid w:val="00FB40F6"/>
    <w:rsid w:val="00FB4211"/>
    <w:rsid w:val="00FB495C"/>
    <w:rsid w:val="00FB5EE4"/>
    <w:rsid w:val="00FB6472"/>
    <w:rsid w:val="00FC0525"/>
    <w:rsid w:val="00FC1EFC"/>
    <w:rsid w:val="00FC2289"/>
    <w:rsid w:val="00FC22D8"/>
    <w:rsid w:val="00FC3451"/>
    <w:rsid w:val="00FC48E1"/>
    <w:rsid w:val="00FC538B"/>
    <w:rsid w:val="00FC5D94"/>
    <w:rsid w:val="00FC6666"/>
    <w:rsid w:val="00FC6C3D"/>
    <w:rsid w:val="00FC6DE1"/>
    <w:rsid w:val="00FC76C3"/>
    <w:rsid w:val="00FC7863"/>
    <w:rsid w:val="00FD0B9A"/>
    <w:rsid w:val="00FD1841"/>
    <w:rsid w:val="00FD1F37"/>
    <w:rsid w:val="00FD243A"/>
    <w:rsid w:val="00FD3177"/>
    <w:rsid w:val="00FD3968"/>
    <w:rsid w:val="00FD3C00"/>
    <w:rsid w:val="00FD412D"/>
    <w:rsid w:val="00FD4547"/>
    <w:rsid w:val="00FD4E21"/>
    <w:rsid w:val="00FD7120"/>
    <w:rsid w:val="00FE0300"/>
    <w:rsid w:val="00FE0B0B"/>
    <w:rsid w:val="00FE1928"/>
    <w:rsid w:val="00FE301A"/>
    <w:rsid w:val="00FE32DA"/>
    <w:rsid w:val="00FE360A"/>
    <w:rsid w:val="00FE45B8"/>
    <w:rsid w:val="00FE4813"/>
    <w:rsid w:val="00FE5091"/>
    <w:rsid w:val="00FE58C2"/>
    <w:rsid w:val="00FE6631"/>
    <w:rsid w:val="00FE6F6F"/>
    <w:rsid w:val="00FE757F"/>
    <w:rsid w:val="00FE7D0C"/>
    <w:rsid w:val="00FE7DBB"/>
    <w:rsid w:val="00FF0253"/>
    <w:rsid w:val="00FF14D1"/>
    <w:rsid w:val="00FF3229"/>
    <w:rsid w:val="00FF3DFB"/>
    <w:rsid w:val="00FF4373"/>
    <w:rsid w:val="00FF653F"/>
    <w:rsid w:val="00FF68E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AF8A-A7AA-4599-BED7-2B2461E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15061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user</cp:lastModifiedBy>
  <cp:revision>529</cp:revision>
  <cp:lastPrinted>2022-05-16T10:58:00Z</cp:lastPrinted>
  <dcterms:created xsi:type="dcterms:W3CDTF">2015-08-25T03:59:00Z</dcterms:created>
  <dcterms:modified xsi:type="dcterms:W3CDTF">2022-05-23T06:15:00Z</dcterms:modified>
</cp:coreProperties>
</file>