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92" w:rsidRDefault="00507792" w:rsidP="005077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 году проведено одно заседание Комиссии по соблюдению требований к служебному поведению муниципальных служащих и урегулированию конфликта интересов. Решение комиссии – занятие иной оплачиваемой деятельностью не влечет конфликта интересов.</w:t>
      </w:r>
    </w:p>
    <w:p w:rsidR="003E1B79" w:rsidRPr="00507792" w:rsidRDefault="00507792">
      <w:pPr>
        <w:rPr>
          <w:b/>
        </w:rPr>
      </w:pPr>
      <w:bookmarkStart w:id="0" w:name="_GoBack"/>
      <w:bookmarkEnd w:id="0"/>
    </w:p>
    <w:sectPr w:rsidR="003E1B79" w:rsidRPr="0050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92"/>
    <w:rsid w:val="00365778"/>
    <w:rsid w:val="00507792"/>
    <w:rsid w:val="00A350D4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В.П.</dc:creator>
  <cp:lastModifiedBy>Калинин В.П.</cp:lastModifiedBy>
  <cp:revision>1</cp:revision>
  <dcterms:created xsi:type="dcterms:W3CDTF">2019-02-05T11:04:00Z</dcterms:created>
  <dcterms:modified xsi:type="dcterms:W3CDTF">2019-02-05T11:05:00Z</dcterms:modified>
</cp:coreProperties>
</file>